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40" w:type="dxa"/>
            <w:vAlign w:val="bottom"/>
          </w:tcPr>
          <w:p>
            <w:pPr>
              <w:spacing w:after="0"/>
              <w:rPr>
                <w:sz w:val="20"/>
                <w:szCs w:val="20"/>
                <w:color w:val="auto"/>
              </w:rPr>
            </w:pPr>
          </w:p>
        </w:tc>
        <w:tc>
          <w:tcPr>
            <w:tcW w:w="1080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As filed with the Securities and Exchange Commission on February 28, 2025</w:t>
            </w:r>
          </w:p>
        </w:tc>
        <w:tc>
          <w:tcPr>
            <w:tcW w:w="0" w:type="dxa"/>
            <w:vAlign w:val="bottom"/>
          </w:tcPr>
          <w:p>
            <w:pPr>
              <w:spacing w:after="0"/>
              <w:rPr>
                <w:sz w:val="1"/>
                <w:szCs w:val="1"/>
                <w:color w:val="auto"/>
              </w:rPr>
            </w:pPr>
          </w:p>
        </w:tc>
      </w:tr>
      <w:tr>
        <w:trPr>
          <w:trHeight w:val="454"/>
        </w:trPr>
        <w:tc>
          <w:tcPr>
            <w:tcW w:w="44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4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780" w:type="dxa"/>
            <w:vAlign w:val="bottom"/>
          </w:tcPr>
          <w:p>
            <w:pPr>
              <w:jc w:val="center"/>
              <w:spacing w:after="0"/>
              <w:rPr>
                <w:sz w:val="20"/>
                <w:szCs w:val="20"/>
                <w:color w:val="auto"/>
              </w:rPr>
            </w:pPr>
            <w:r>
              <w:rPr>
                <w:rFonts w:ascii="Times New Roman" w:cs="Times New Roman" w:eastAsia="Times New Roman" w:hAnsi="Times New Roman"/>
                <w:sz w:val="29"/>
                <w:szCs w:val="29"/>
                <w:b w:val="1"/>
                <w:bCs w:val="1"/>
                <w:color w:val="auto"/>
                <w:w w:val="97"/>
              </w:rPr>
              <w:t>UNITED STATES</w:t>
            </w:r>
          </w:p>
        </w:tc>
        <w:tc>
          <w:tcPr>
            <w:tcW w:w="3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440" w:type="dxa"/>
            <w:vAlign w:val="bottom"/>
          </w:tcPr>
          <w:p>
            <w:pPr>
              <w:spacing w:after="0"/>
              <w:rPr>
                <w:sz w:val="24"/>
                <w:szCs w:val="24"/>
                <w:color w:val="auto"/>
              </w:rPr>
            </w:pPr>
          </w:p>
        </w:tc>
        <w:tc>
          <w:tcPr>
            <w:tcW w:w="10800" w:type="dxa"/>
            <w:vAlign w:val="bottom"/>
            <w:gridSpan w:val="5"/>
          </w:tcPr>
          <w:p>
            <w:pPr>
              <w:jc w:val="center"/>
              <w:ind w:right="440"/>
              <w:spacing w:after="0"/>
              <w:rPr>
                <w:sz w:val="20"/>
                <w:szCs w:val="20"/>
                <w:color w:val="auto"/>
              </w:rPr>
            </w:pPr>
            <w:r>
              <w:rPr>
                <w:rFonts w:ascii="Times New Roman" w:cs="Times New Roman" w:eastAsia="Times New Roman" w:hAnsi="Times New Roman"/>
                <w:sz w:val="29"/>
                <w:szCs w:val="29"/>
                <w:b w:val="1"/>
                <w:bCs w:val="1"/>
                <w:color w:val="auto"/>
                <w:w w:val="99"/>
              </w:rPr>
              <w:t>SECURITIES AND EXCHANGE COMMISSION</w:t>
            </w:r>
          </w:p>
        </w:tc>
        <w:tc>
          <w:tcPr>
            <w:tcW w:w="0" w:type="dxa"/>
            <w:vAlign w:val="bottom"/>
          </w:tcPr>
          <w:p>
            <w:pPr>
              <w:spacing w:after="0"/>
              <w:rPr>
                <w:sz w:val="1"/>
                <w:szCs w:val="1"/>
                <w:color w:val="auto"/>
              </w:rPr>
            </w:pPr>
          </w:p>
        </w:tc>
      </w:tr>
      <w:tr>
        <w:trPr>
          <w:trHeight w:val="238"/>
        </w:trPr>
        <w:tc>
          <w:tcPr>
            <w:tcW w:w="4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Washington, D.C. 20549</w:t>
            </w:r>
          </w:p>
        </w:tc>
        <w:tc>
          <w:tcPr>
            <w:tcW w:w="3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44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780" w:type="dxa"/>
            <w:vAlign w:val="bottom"/>
            <w:tcBorders>
              <w:bottom w:val="single" w:sz="8" w:color="auto"/>
            </w:tcBorders>
          </w:tcPr>
          <w:p>
            <w:pPr>
              <w:spacing w:after="0"/>
              <w:rPr>
                <w:sz w:val="14"/>
                <w:szCs w:val="14"/>
                <w:color w:val="auto"/>
              </w:rPr>
            </w:pPr>
          </w:p>
        </w:tc>
        <w:tc>
          <w:tcPr>
            <w:tcW w:w="3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7"/>
        </w:trPr>
        <w:tc>
          <w:tcPr>
            <w:tcW w:w="4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780" w:type="dxa"/>
            <w:vAlign w:val="bottom"/>
          </w:tcPr>
          <w:p>
            <w:pPr>
              <w:jc w:val="center"/>
              <w:spacing w:after="0"/>
              <w:rPr>
                <w:sz w:val="20"/>
                <w:szCs w:val="20"/>
                <w:color w:val="auto"/>
              </w:rPr>
            </w:pPr>
            <w:r>
              <w:rPr>
                <w:rFonts w:ascii="Times New Roman" w:cs="Times New Roman" w:eastAsia="Times New Roman" w:hAnsi="Times New Roman"/>
                <w:sz w:val="29"/>
                <w:szCs w:val="29"/>
                <w:b w:val="1"/>
                <w:bCs w:val="1"/>
                <w:color w:val="auto"/>
                <w:w w:val="99"/>
              </w:rPr>
              <w:t>FORM 10-K</w:t>
            </w:r>
          </w:p>
        </w:tc>
        <w:tc>
          <w:tcPr>
            <w:tcW w:w="3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440" w:type="dxa"/>
            <w:vAlign w:val="bottom"/>
            <w:vMerge w:val="restart"/>
          </w:tcPr>
          <w:p>
            <w:pPr>
              <w:ind w:left="100"/>
              <w:spacing w:after="0" w:line="221" w:lineRule="exact"/>
              <w:rPr>
                <w:sz w:val="20"/>
                <w:szCs w:val="20"/>
                <w:color w:val="auto"/>
              </w:rPr>
            </w:pPr>
            <w:r>
              <w:rPr>
                <w:rFonts w:ascii="MS PGothic" w:cs="MS PGothic" w:eastAsia="MS PGothic" w:hAnsi="MS PGothic"/>
                <w:sz w:val="22"/>
                <w:szCs w:val="22"/>
                <w:color w:val="auto"/>
              </w:rPr>
              <w:t>☒</w:t>
            </w:r>
          </w:p>
        </w:tc>
        <w:tc>
          <w:tcPr>
            <w:tcW w:w="3280" w:type="dxa"/>
            <w:vAlign w:val="bottom"/>
          </w:tcPr>
          <w:p>
            <w:pPr>
              <w:spacing w:after="0"/>
              <w:rPr>
                <w:sz w:val="14"/>
                <w:szCs w:val="14"/>
                <w:color w:val="auto"/>
              </w:rPr>
            </w:pPr>
          </w:p>
        </w:tc>
        <w:tc>
          <w:tcPr>
            <w:tcW w:w="3820" w:type="dxa"/>
            <w:vAlign w:val="bottom"/>
            <w:tcBorders>
              <w:bottom w:val="single" w:sz="8" w:color="auto"/>
            </w:tcBorders>
            <w:gridSpan w:val="2"/>
          </w:tcPr>
          <w:p>
            <w:pPr>
              <w:spacing w:after="0"/>
              <w:rPr>
                <w:sz w:val="14"/>
                <w:szCs w:val="14"/>
                <w:color w:val="auto"/>
              </w:rPr>
            </w:pPr>
          </w:p>
        </w:tc>
        <w:tc>
          <w:tcPr>
            <w:tcW w:w="3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6"/>
        </w:trPr>
        <w:tc>
          <w:tcPr>
            <w:tcW w:w="440" w:type="dxa"/>
            <w:vAlign w:val="bottom"/>
            <w:vMerge w:val="continue"/>
          </w:tcPr>
          <w:p>
            <w:pPr>
              <w:spacing w:after="0"/>
              <w:rPr>
                <w:sz w:val="24"/>
                <w:szCs w:val="24"/>
                <w:color w:val="auto"/>
              </w:rPr>
            </w:pPr>
          </w:p>
        </w:tc>
        <w:tc>
          <w:tcPr>
            <w:tcW w:w="10800" w:type="dxa"/>
            <w:vAlign w:val="bottom"/>
            <w:gridSpan w:val="5"/>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tc>
        <w:tc>
          <w:tcPr>
            <w:tcW w:w="0" w:type="dxa"/>
            <w:vAlign w:val="bottom"/>
          </w:tcPr>
          <w:p>
            <w:pPr>
              <w:spacing w:after="0"/>
              <w:rPr>
                <w:sz w:val="1"/>
                <w:szCs w:val="1"/>
                <w:color w:val="auto"/>
              </w:rPr>
            </w:pPr>
          </w:p>
        </w:tc>
      </w:tr>
      <w:tr>
        <w:trPr>
          <w:trHeight w:val="247"/>
        </w:trPr>
        <w:tc>
          <w:tcPr>
            <w:tcW w:w="44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For the Fiscal Year Ended December 31, 2024</w:t>
            </w:r>
          </w:p>
        </w:tc>
        <w:tc>
          <w:tcPr>
            <w:tcW w:w="3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40" w:type="dxa"/>
            <w:vAlign w:val="bottom"/>
          </w:tcPr>
          <w:p>
            <w:pPr>
              <w:spacing w:after="0"/>
              <w:rPr>
                <w:sz w:val="22"/>
                <w:szCs w:val="22"/>
                <w:color w:val="auto"/>
              </w:rPr>
            </w:pPr>
          </w:p>
        </w:tc>
        <w:tc>
          <w:tcPr>
            <w:tcW w:w="3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Or</w:t>
            </w:r>
          </w:p>
        </w:tc>
        <w:tc>
          <w:tcPr>
            <w:tcW w:w="32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72"/>
        </w:trPr>
        <w:tc>
          <w:tcPr>
            <w:tcW w:w="440" w:type="dxa"/>
            <w:vAlign w:val="bottom"/>
          </w:tcPr>
          <w:p>
            <w:pPr>
              <w:ind w:left="120"/>
              <w:spacing w:after="0" w:line="221" w:lineRule="exact"/>
              <w:rPr>
                <w:sz w:val="20"/>
                <w:szCs w:val="20"/>
                <w:color w:val="auto"/>
              </w:rPr>
            </w:pPr>
            <w:r>
              <w:rPr>
                <w:rFonts w:ascii="MS PGothic" w:cs="MS PGothic" w:eastAsia="MS PGothic" w:hAnsi="MS PGothic"/>
                <w:sz w:val="22"/>
                <w:szCs w:val="22"/>
                <w:color w:val="auto"/>
              </w:rPr>
              <w:t>☐</w:t>
            </w:r>
          </w:p>
        </w:tc>
        <w:tc>
          <w:tcPr>
            <w:tcW w:w="10800" w:type="dxa"/>
            <w:vAlign w:val="bottom"/>
            <w:gridSpan w:val="5"/>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tc>
        <w:tc>
          <w:tcPr>
            <w:tcW w:w="0" w:type="dxa"/>
            <w:vAlign w:val="bottom"/>
          </w:tcPr>
          <w:p>
            <w:pPr>
              <w:spacing w:after="0"/>
              <w:rPr>
                <w:sz w:val="1"/>
                <w:szCs w:val="1"/>
                <w:color w:val="auto"/>
              </w:rPr>
            </w:pPr>
          </w:p>
        </w:tc>
      </w:tr>
      <w:tr>
        <w:trPr>
          <w:trHeight w:val="226"/>
        </w:trPr>
        <w:tc>
          <w:tcPr>
            <w:tcW w:w="440" w:type="dxa"/>
            <w:vAlign w:val="bottom"/>
          </w:tcPr>
          <w:p>
            <w:pPr>
              <w:spacing w:after="0"/>
              <w:rPr>
                <w:sz w:val="19"/>
                <w:szCs w:val="19"/>
                <w:color w:val="auto"/>
              </w:rPr>
            </w:pPr>
          </w:p>
        </w:tc>
        <w:tc>
          <w:tcPr>
            <w:tcW w:w="7100" w:type="dxa"/>
            <w:vAlign w:val="bottom"/>
            <w:gridSpan w:val="3"/>
          </w:tcPr>
          <w:p>
            <w:pPr>
              <w:ind w:left="2560"/>
              <w:spacing w:after="0"/>
              <w:rPr>
                <w:sz w:val="20"/>
                <w:szCs w:val="20"/>
                <w:color w:val="auto"/>
              </w:rPr>
            </w:pPr>
            <w:r>
              <w:rPr>
                <w:rFonts w:ascii="Times New Roman" w:cs="Times New Roman" w:eastAsia="Times New Roman" w:hAnsi="Times New Roman"/>
                <w:sz w:val="17"/>
                <w:szCs w:val="17"/>
                <w:b w:val="1"/>
                <w:bCs w:val="1"/>
                <w:color w:val="auto"/>
              </w:rPr>
              <w:t>For the transition period from__________to__________</w:t>
            </w:r>
          </w:p>
        </w:tc>
        <w:tc>
          <w:tcPr>
            <w:tcW w:w="3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3"/>
        </w:trPr>
        <w:tc>
          <w:tcPr>
            <w:tcW w:w="4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No. 001-39356</w:t>
            </w:r>
          </w:p>
        </w:tc>
        <w:tc>
          <w:tcPr>
            <w:tcW w:w="3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94"/>
        </w:trPr>
        <w:tc>
          <w:tcPr>
            <w:tcW w:w="4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c>
          <w:tcPr>
            <w:tcW w:w="3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4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780" w:type="dxa"/>
            <w:vAlign w:val="bottom"/>
          </w:tcPr>
          <w:p>
            <w:pPr>
              <w:jc w:val="center"/>
              <w:spacing w:after="0"/>
              <w:rPr>
                <w:sz w:val="20"/>
                <w:szCs w:val="20"/>
                <w:color w:val="auto"/>
              </w:rPr>
            </w:pPr>
            <w:r>
              <w:rPr>
                <w:rFonts w:ascii="Times New Roman" w:cs="Times New Roman" w:eastAsia="Times New Roman" w:hAnsi="Times New Roman"/>
                <w:sz w:val="25"/>
                <w:szCs w:val="25"/>
                <w:b w:val="1"/>
                <w:bCs w:val="1"/>
                <w:color w:val="auto"/>
              </w:rPr>
              <w:t>IAC Inc.</w:t>
            </w:r>
          </w:p>
        </w:tc>
        <w:tc>
          <w:tcPr>
            <w:tcW w:w="3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2"/>
        </w:trPr>
        <w:tc>
          <w:tcPr>
            <w:tcW w:w="440" w:type="dxa"/>
            <w:vAlign w:val="bottom"/>
          </w:tcPr>
          <w:p>
            <w:pPr>
              <w:spacing w:after="0"/>
              <w:rPr>
                <w:sz w:val="24"/>
                <w:szCs w:val="24"/>
                <w:color w:val="auto"/>
              </w:rPr>
            </w:pPr>
          </w:p>
        </w:tc>
        <w:tc>
          <w:tcPr>
            <w:tcW w:w="3320" w:type="dxa"/>
            <w:vAlign w:val="bottom"/>
            <w:gridSpan w:val="2"/>
          </w:tcPr>
          <w:p>
            <w:pPr>
              <w:jc w:val="center"/>
              <w:ind w:left="1113"/>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780" w:type="dxa"/>
            <w:vAlign w:val="bottom"/>
          </w:tcPr>
          <w:p>
            <w:pPr>
              <w:spacing w:after="0"/>
              <w:rPr>
                <w:sz w:val="24"/>
                <w:szCs w:val="24"/>
                <w:color w:val="auto"/>
              </w:rPr>
            </w:pPr>
          </w:p>
        </w:tc>
        <w:tc>
          <w:tcPr>
            <w:tcW w:w="3280" w:type="dxa"/>
            <w:vAlign w:val="bottom"/>
          </w:tcPr>
          <w:p>
            <w:pPr>
              <w:jc w:val="right"/>
              <w:ind w:right="1825"/>
              <w:spacing w:after="0"/>
              <w:rPr>
                <w:sz w:val="20"/>
                <w:szCs w:val="20"/>
                <w:color w:val="auto"/>
              </w:rPr>
            </w:pPr>
            <w:r>
              <w:rPr>
                <w:rFonts w:ascii="Times New Roman" w:cs="Times New Roman" w:eastAsia="Times New Roman" w:hAnsi="Times New Roman"/>
                <w:sz w:val="16"/>
                <w:szCs w:val="16"/>
                <w:b w:val="1"/>
                <w:bCs w:val="1"/>
                <w:color w:val="auto"/>
              </w:rPr>
              <w:t>84-3727412</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440" w:type="dxa"/>
            <w:vAlign w:val="bottom"/>
          </w:tcPr>
          <w:p>
            <w:pPr>
              <w:spacing w:after="0"/>
              <w:rPr>
                <w:sz w:val="14"/>
                <w:szCs w:val="14"/>
                <w:color w:val="auto"/>
              </w:rPr>
            </w:pPr>
          </w:p>
        </w:tc>
        <w:tc>
          <w:tcPr>
            <w:tcW w:w="3320" w:type="dxa"/>
            <w:vAlign w:val="bottom"/>
            <w:gridSpan w:val="2"/>
          </w:tcPr>
          <w:p>
            <w:pPr>
              <w:jc w:val="center"/>
              <w:ind w:left="1113"/>
              <w:spacing w:after="0" w:line="168" w:lineRule="exact"/>
              <w:rPr>
                <w:sz w:val="20"/>
                <w:szCs w:val="20"/>
                <w:color w:val="auto"/>
              </w:rPr>
            </w:pPr>
            <w:r>
              <w:rPr>
                <w:rFonts w:ascii="Times New Roman" w:cs="Times New Roman" w:eastAsia="Times New Roman" w:hAnsi="Times New Roman"/>
                <w:sz w:val="16"/>
                <w:szCs w:val="16"/>
                <w:color w:val="auto"/>
              </w:rPr>
              <w:t>(State or other jurisdiction</w:t>
            </w:r>
          </w:p>
        </w:tc>
        <w:tc>
          <w:tcPr>
            <w:tcW w:w="7480" w:type="dxa"/>
            <w:vAlign w:val="bottom"/>
            <w:gridSpan w:val="3"/>
            <w:vMerge w:val="restart"/>
          </w:tcPr>
          <w:p>
            <w:pPr>
              <w:jc w:val="center"/>
              <w:ind w:left="1992"/>
              <w:spacing w:after="0"/>
              <w:rPr>
                <w:sz w:val="20"/>
                <w:szCs w:val="20"/>
                <w:color w:val="auto"/>
              </w:rPr>
            </w:pPr>
            <w:r>
              <w:rPr>
                <w:rFonts w:ascii="Times New Roman" w:cs="Times New Roman" w:eastAsia="Times New Roman" w:hAnsi="Times New Roman"/>
                <w:sz w:val="16"/>
                <w:szCs w:val="16"/>
                <w:color w:val="auto"/>
              </w:rPr>
              <w:t>(I.R.S. Employer Identification No.)</w:t>
            </w:r>
          </w:p>
        </w:tc>
        <w:tc>
          <w:tcPr>
            <w:tcW w:w="0" w:type="dxa"/>
            <w:vAlign w:val="bottom"/>
          </w:tcPr>
          <w:p>
            <w:pPr>
              <w:spacing w:after="0"/>
              <w:rPr>
                <w:sz w:val="1"/>
                <w:szCs w:val="1"/>
                <w:color w:val="auto"/>
              </w:rPr>
            </w:pPr>
          </w:p>
        </w:tc>
      </w:tr>
      <w:tr>
        <w:trPr>
          <w:trHeight w:val="129"/>
        </w:trPr>
        <w:tc>
          <w:tcPr>
            <w:tcW w:w="440" w:type="dxa"/>
            <w:vAlign w:val="bottom"/>
          </w:tcPr>
          <w:p>
            <w:pPr>
              <w:spacing w:after="0"/>
              <w:rPr>
                <w:sz w:val="11"/>
                <w:szCs w:val="11"/>
                <w:color w:val="auto"/>
              </w:rPr>
            </w:pPr>
          </w:p>
        </w:tc>
        <w:tc>
          <w:tcPr>
            <w:tcW w:w="3320" w:type="dxa"/>
            <w:vAlign w:val="bottom"/>
            <w:gridSpan w:val="2"/>
            <w:vMerge w:val="restart"/>
          </w:tcPr>
          <w:p>
            <w:pPr>
              <w:jc w:val="center"/>
              <w:ind w:left="1113"/>
              <w:spacing w:after="0"/>
              <w:rPr>
                <w:sz w:val="20"/>
                <w:szCs w:val="20"/>
                <w:color w:val="auto"/>
              </w:rPr>
            </w:pPr>
            <w:r>
              <w:rPr>
                <w:rFonts w:ascii="Times New Roman" w:cs="Times New Roman" w:eastAsia="Times New Roman" w:hAnsi="Times New Roman"/>
                <w:sz w:val="16"/>
                <w:szCs w:val="16"/>
                <w:color w:val="auto"/>
              </w:rPr>
              <w:t>of incorporation or organization)</w:t>
            </w:r>
          </w:p>
        </w:tc>
        <w:tc>
          <w:tcPr>
            <w:tcW w:w="74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440" w:type="dxa"/>
            <w:vAlign w:val="bottom"/>
          </w:tcPr>
          <w:p>
            <w:pPr>
              <w:spacing w:after="0"/>
              <w:rPr>
                <w:sz w:val="7"/>
                <w:szCs w:val="7"/>
                <w:color w:val="auto"/>
              </w:rPr>
            </w:pPr>
          </w:p>
        </w:tc>
        <w:tc>
          <w:tcPr>
            <w:tcW w:w="3320" w:type="dxa"/>
            <w:vAlign w:val="bottom"/>
            <w:gridSpan w:val="2"/>
            <w:vMerge w:val="continue"/>
          </w:tcPr>
          <w:p>
            <w:pPr>
              <w:spacing w:after="0"/>
              <w:rPr>
                <w:sz w:val="7"/>
                <w:szCs w:val="7"/>
                <w:color w:val="auto"/>
              </w:rPr>
            </w:pPr>
          </w:p>
        </w:tc>
        <w:tc>
          <w:tcPr>
            <w:tcW w:w="3780" w:type="dxa"/>
            <w:vAlign w:val="bottom"/>
          </w:tcPr>
          <w:p>
            <w:pPr>
              <w:spacing w:after="0"/>
              <w:rPr>
                <w:sz w:val="7"/>
                <w:szCs w:val="7"/>
                <w:color w:val="auto"/>
              </w:rPr>
            </w:pPr>
          </w:p>
        </w:tc>
        <w:tc>
          <w:tcPr>
            <w:tcW w:w="3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5"/>
        </w:trPr>
        <w:tc>
          <w:tcPr>
            <w:tcW w:w="440" w:type="dxa"/>
            <w:vAlign w:val="bottom"/>
          </w:tcPr>
          <w:p>
            <w:pPr>
              <w:spacing w:after="0"/>
              <w:rPr>
                <w:sz w:val="23"/>
                <w:szCs w:val="23"/>
                <w:color w:val="auto"/>
              </w:rPr>
            </w:pPr>
          </w:p>
        </w:tc>
        <w:tc>
          <w:tcPr>
            <w:tcW w:w="3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555 West 18th Street, New York, New York 10011</w:t>
            </w:r>
          </w:p>
        </w:tc>
        <w:tc>
          <w:tcPr>
            <w:tcW w:w="32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8"/>
        </w:trPr>
        <w:tc>
          <w:tcPr>
            <w:tcW w:w="44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780" w:type="dxa"/>
            <w:vAlign w:val="bottom"/>
          </w:tcPr>
          <w:p>
            <w:pPr>
              <w:jc w:val="center"/>
              <w:spacing w:after="0" w:line="178" w:lineRule="exact"/>
              <w:rPr>
                <w:sz w:val="20"/>
                <w:szCs w:val="20"/>
                <w:color w:val="auto"/>
              </w:rPr>
            </w:pPr>
            <w:r>
              <w:rPr>
                <w:rFonts w:ascii="Times New Roman" w:cs="Times New Roman" w:eastAsia="Times New Roman" w:hAnsi="Times New Roman"/>
                <w:sz w:val="16"/>
                <w:szCs w:val="16"/>
                <w:color w:val="auto"/>
              </w:rPr>
              <w:t>(Address of registrant's principal executive offices)</w:t>
            </w:r>
          </w:p>
        </w:tc>
        <w:tc>
          <w:tcPr>
            <w:tcW w:w="3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4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(212) 314-7300</w:t>
            </w:r>
          </w:p>
        </w:tc>
        <w:tc>
          <w:tcPr>
            <w:tcW w:w="3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4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3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0"/>
        </w:trPr>
        <w:tc>
          <w:tcPr>
            <w:tcW w:w="4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3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440" w:type="dxa"/>
            <w:vAlign w:val="bottom"/>
          </w:tcPr>
          <w:p>
            <w:pPr>
              <w:spacing w:after="0"/>
              <w:rPr>
                <w:sz w:val="24"/>
                <w:szCs w:val="24"/>
                <w:color w:val="auto"/>
              </w:rPr>
            </w:pPr>
          </w:p>
        </w:tc>
        <w:tc>
          <w:tcPr>
            <w:tcW w:w="3320" w:type="dxa"/>
            <w:vAlign w:val="bottom"/>
            <w:gridSpan w:val="2"/>
          </w:tcPr>
          <w:p>
            <w:pPr>
              <w:jc w:val="center"/>
              <w:ind w:left="353"/>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3700" w:type="dxa"/>
            <w:vAlign w:val="bottom"/>
            <w:gridSpan w:val="2"/>
          </w:tcPr>
          <w:p>
            <w:pPr>
              <w:jc w:val="center"/>
              <w:ind w:right="1020"/>
              <w:spacing w:after="0"/>
              <w:rPr>
                <w:sz w:val="20"/>
                <w:szCs w:val="20"/>
                <w:color w:val="auto"/>
              </w:rPr>
            </w:pPr>
            <w:r>
              <w:rPr>
                <w:rFonts w:ascii="Times New Roman" w:cs="Times New Roman" w:eastAsia="Times New Roman" w:hAnsi="Times New Roman"/>
                <w:sz w:val="14"/>
                <w:szCs w:val="14"/>
                <w:b w:val="1"/>
                <w:bCs w:val="1"/>
                <w:color w:val="auto"/>
              </w:rPr>
              <w:t>Name of exchange on which registered</w:t>
            </w:r>
          </w:p>
        </w:tc>
        <w:tc>
          <w:tcPr>
            <w:tcW w:w="0" w:type="dxa"/>
            <w:vAlign w:val="bottom"/>
          </w:tcPr>
          <w:p>
            <w:pPr>
              <w:spacing w:after="0"/>
              <w:rPr>
                <w:sz w:val="1"/>
                <w:szCs w:val="1"/>
                <w:color w:val="auto"/>
              </w:rPr>
            </w:pPr>
          </w:p>
        </w:tc>
      </w:tr>
      <w:tr>
        <w:trPr>
          <w:trHeight w:val="23"/>
        </w:trPr>
        <w:tc>
          <w:tcPr>
            <w:tcW w:w="440" w:type="dxa"/>
            <w:vAlign w:val="bottom"/>
          </w:tcPr>
          <w:p>
            <w:pPr>
              <w:spacing w:after="0"/>
              <w:rPr>
                <w:sz w:val="2"/>
                <w:szCs w:val="2"/>
                <w:color w:val="auto"/>
              </w:rPr>
            </w:pPr>
          </w:p>
        </w:tc>
        <w:tc>
          <w:tcPr>
            <w:tcW w:w="3320" w:type="dxa"/>
            <w:vAlign w:val="bottom"/>
            <w:gridSpan w:val="2"/>
          </w:tcPr>
          <w:p>
            <w:pPr>
              <w:spacing w:after="0"/>
              <w:rPr>
                <w:sz w:val="2"/>
                <w:szCs w:val="2"/>
                <w:color w:val="auto"/>
              </w:rPr>
            </w:pPr>
          </w:p>
        </w:tc>
        <w:tc>
          <w:tcPr>
            <w:tcW w:w="3780" w:type="dxa"/>
            <w:vAlign w:val="bottom"/>
          </w:tcPr>
          <w:p>
            <w:pPr>
              <w:spacing w:after="0"/>
              <w:rPr>
                <w:sz w:val="2"/>
                <w:szCs w:val="2"/>
                <w:color w:val="auto"/>
              </w:rPr>
            </w:pPr>
          </w:p>
        </w:tc>
        <w:tc>
          <w:tcPr>
            <w:tcW w:w="37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440" w:type="dxa"/>
            <w:vAlign w:val="bottom"/>
          </w:tcPr>
          <w:p>
            <w:pPr>
              <w:spacing w:after="0"/>
              <w:rPr>
                <w:sz w:val="15"/>
                <w:szCs w:val="15"/>
                <w:color w:val="auto"/>
              </w:rPr>
            </w:pPr>
          </w:p>
        </w:tc>
        <w:tc>
          <w:tcPr>
            <w:tcW w:w="3320" w:type="dxa"/>
            <w:vAlign w:val="bottom"/>
            <w:tcBorders>
              <w:top w:val="single" w:sz="8" w:color="auto"/>
            </w:tcBorders>
            <w:gridSpan w:val="2"/>
          </w:tcPr>
          <w:p>
            <w:pPr>
              <w:jc w:val="center"/>
              <w:ind w:left="393"/>
              <w:spacing w:after="0"/>
              <w:rPr>
                <w:sz w:val="20"/>
                <w:szCs w:val="20"/>
                <w:color w:val="auto"/>
              </w:rPr>
            </w:pPr>
            <w:r>
              <w:rPr>
                <w:rFonts w:ascii="Times New Roman" w:cs="Times New Roman" w:eastAsia="Times New Roman" w:hAnsi="Times New Roman"/>
                <w:sz w:val="14"/>
                <w:szCs w:val="14"/>
                <w:color w:val="auto"/>
              </w:rPr>
              <w:t>Common Stock, par value $0.0001</w:t>
            </w:r>
          </w:p>
        </w:tc>
        <w:tc>
          <w:tcPr>
            <w:tcW w:w="3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IAC</w:t>
            </w:r>
          </w:p>
        </w:tc>
        <w:tc>
          <w:tcPr>
            <w:tcW w:w="3280" w:type="dxa"/>
            <w:vAlign w:val="bottom"/>
            <w:tcBorders>
              <w:top w:val="single" w:sz="8" w:color="auto"/>
            </w:tcBorders>
          </w:tcPr>
          <w:p>
            <w:pPr>
              <w:jc w:val="center"/>
              <w:ind w:right="465"/>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44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w:t>
            </w:r>
          </w:p>
        </w:tc>
        <w:tc>
          <w:tcPr>
            <w:tcW w:w="3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44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None</w:t>
            </w:r>
          </w:p>
        </w:tc>
        <w:tc>
          <w:tcPr>
            <w:tcW w:w="3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3194050</wp:posOffset>
            </wp:positionH>
            <wp:positionV relativeFrom="paragraph">
              <wp:posOffset>-2701925</wp:posOffset>
            </wp:positionV>
            <wp:extent cx="762635" cy="2743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62635" cy="274320"/>
                    </a:xfrm>
                    <a:prstGeom prst="rect">
                      <a:avLst/>
                    </a:prstGeom>
                    <a:noFill/>
                  </pic:spPr>
                </pic:pic>
              </a:graphicData>
            </a:graphic>
          </wp:anchor>
        </w:drawing>
      </w:r>
    </w:p>
    <w:p>
      <w:pPr>
        <w:spacing w:after="0" w:line="3" w:lineRule="exact"/>
        <w:rPr>
          <w:sz w:val="24"/>
          <w:szCs w:val="24"/>
          <w:color w:val="auto"/>
        </w:rPr>
      </w:pPr>
    </w:p>
    <w:p>
      <w:pPr>
        <w:ind w:left="500" w:right="3140"/>
        <w:spacing w:after="0" w:line="243"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Indicate by check mark if the registrant is not required to file reports pursuant to Section 13 or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right="140" w:firstLine="486"/>
        <w:spacing w:after="0" w:line="20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p>
    <w:p>
      <w:pPr>
        <w:ind w:right="120" w:firstLine="486"/>
        <w:spacing w:after="0" w:line="20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p>
    <w:p>
      <w:pPr>
        <w:ind w:right="180" w:firstLine="486"/>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81" w:orient="portrait"/>
          <w:cols w:equalWidth="0" w:num="1">
            <w:col w:w="11240"/>
          </w:cols>
          <w:pgMar w:left="320" w:top="225" w:right="339" w:bottom="0" w:gutter="0" w:footer="0" w:header="0"/>
        </w:sectPr>
      </w:pPr>
    </w:p>
    <w:p>
      <w:pPr>
        <w:spacing w:after="0" w:line="94" w:lineRule="exact"/>
        <w:rPr>
          <w:sz w:val="24"/>
          <w:szCs w:val="24"/>
          <w:color w:val="auto"/>
        </w:rPr>
      </w:pPr>
    </w:p>
    <w:p>
      <w:pPr>
        <w:ind w:left="280"/>
        <w:spacing w:after="0"/>
        <w:rPr>
          <w:sz w:val="20"/>
          <w:szCs w:val="20"/>
          <w:color w:val="auto"/>
        </w:rPr>
      </w:pPr>
      <w:r>
        <w:rPr>
          <w:rFonts w:ascii="Times New Roman" w:cs="Times New Roman" w:eastAsia="Times New Roman" w:hAnsi="Times New Roman"/>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7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jc w:val="cente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jc w:val="cente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35" w:lineRule="exact"/>
        <w:rPr>
          <w:sz w:val="24"/>
          <w:szCs w:val="24"/>
          <w:color w:val="auto"/>
        </w:rPr>
      </w:pPr>
    </w:p>
    <w:p>
      <w:pPr>
        <w:sectPr>
          <w:pgSz w:w="11900" w:h="16881" w:orient="portrait"/>
          <w:cols w:equalWidth="0" w:num="10">
            <w:col w:w="1580" w:space="340"/>
            <w:col w:w="140" w:space="300"/>
            <w:col w:w="960" w:space="340"/>
            <w:col w:w="140" w:space="380"/>
            <w:col w:w="1200" w:space="380"/>
            <w:col w:w="120" w:space="460"/>
            <w:col w:w="1580" w:space="440"/>
            <w:col w:w="140" w:space="460"/>
            <w:col w:w="1560" w:space="480"/>
            <w:col w:w="240"/>
          </w:cols>
          <w:pgMar w:left="320" w:top="225" w:right="339" w:bottom="0" w:gutter="0" w:footer="0" w:header="0"/>
          <w:type w:val="continuous"/>
        </w:sectPr>
      </w:pPr>
    </w:p>
    <w:p>
      <w:pPr>
        <w:ind w:right="560"/>
        <w:spacing w:after="0" w:line="193"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p>
    <w:p>
      <w:pPr>
        <w:ind w:right="40" w:firstLine="486"/>
        <w:spacing w:after="0" w:line="200" w:lineRule="exact"/>
        <w:rPr>
          <w:sz w:val="20"/>
          <w:szCs w:val="20"/>
          <w:color w:val="auto"/>
        </w:rPr>
      </w:pPr>
      <w:r>
        <w:rPr>
          <w:rFonts w:ascii="Times New Roman" w:cs="Times New Roman" w:eastAsia="Times New Roman" w:hAnsi="Times New Roman"/>
          <w:sz w:val="14"/>
          <w:szCs w:val="14"/>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issues its audit repor</w:t>
      </w:r>
      <w:r>
        <w:rPr>
          <w:rFonts w:ascii="Arial" w:cs="Arial" w:eastAsia="Arial" w:hAnsi="Arial"/>
          <w:sz w:val="14"/>
          <w:szCs w:val="14"/>
          <w:color w:val="auto"/>
        </w:rPr>
        <w:t>t</w:t>
      </w:r>
      <w:r>
        <w:rPr>
          <w:rFonts w:ascii="Times New Roman" w:cs="Times New Roman" w:eastAsia="Times New Roman" w:hAnsi="Times New Roman"/>
          <w:sz w:val="14"/>
          <w:szCs w:val="14"/>
          <w:color w:val="auto"/>
        </w:rPr>
        <w:t xml:space="preserve"> </w:t>
      </w:r>
      <w:r>
        <w:rPr>
          <w:rFonts w:ascii="MS PGothic" w:cs="MS PGothic" w:eastAsia="MS PGothic" w:hAnsi="MS PGothic"/>
          <w:sz w:val="14"/>
          <w:szCs w:val="14"/>
          <w:color w:val="auto"/>
        </w:rPr>
        <w:t>☒</w:t>
      </w:r>
    </w:p>
    <w:p>
      <w:pPr>
        <w:spacing w:after="0" w:line="19" w:lineRule="exact"/>
        <w:rPr>
          <w:sz w:val="24"/>
          <w:szCs w:val="24"/>
          <w:color w:val="auto"/>
        </w:rPr>
      </w:pPr>
    </w:p>
    <w:p>
      <w:pPr>
        <w:ind w:right="100" w:firstLine="486"/>
        <w:spacing w:after="0" w:line="193"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20" w:lineRule="exact"/>
        <w:rPr>
          <w:sz w:val="24"/>
          <w:szCs w:val="24"/>
          <w:color w:val="auto"/>
        </w:rPr>
      </w:pPr>
    </w:p>
    <w:p>
      <w:pPr>
        <w:ind w:right="400" w:firstLine="486"/>
        <w:spacing w:after="0" w:line="200"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2" w:lineRule="exact"/>
        <w:rPr>
          <w:sz w:val="24"/>
          <w:szCs w:val="24"/>
          <w:color w:val="auto"/>
        </w:rPr>
      </w:pPr>
    </w:p>
    <w:p>
      <w:pPr>
        <w:ind w:left="500"/>
        <w:spacing w:after="0" w:line="161" w:lineRule="exact"/>
        <w:tabs>
          <w:tab w:leader="none" w:pos="756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946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As of February 7, 2025, the following shares of the registrant's Common Stock were outstanding:</w:t>
            </w:r>
          </w:p>
        </w:tc>
        <w:tc>
          <w:tcPr>
            <w:tcW w:w="1760" w:type="dxa"/>
            <w:vAlign w:val="bottom"/>
          </w:tcPr>
          <w:p>
            <w:pPr>
              <w:spacing w:after="0"/>
              <w:rPr>
                <w:sz w:val="16"/>
                <w:szCs w:val="16"/>
                <w:color w:val="auto"/>
              </w:rPr>
            </w:pPr>
          </w:p>
        </w:tc>
      </w:tr>
      <w:tr>
        <w:trPr>
          <w:trHeight w:val="24"/>
        </w:trPr>
        <w:tc>
          <w:tcPr>
            <w:tcW w:w="946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03"/>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77,493,837</w:t>
            </w:r>
          </w:p>
        </w:tc>
      </w:tr>
      <w:tr>
        <w:trPr>
          <w:trHeight w:val="196"/>
        </w:trPr>
        <w:tc>
          <w:tcPr>
            <w:tcW w:w="9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Class B Common Stock</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5,789,499</w:t>
            </w:r>
          </w:p>
        </w:tc>
      </w:tr>
      <w:tr>
        <w:trPr>
          <w:trHeight w:val="227"/>
        </w:trPr>
        <w:tc>
          <w:tcPr>
            <w:tcW w:w="94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83,283,336</w:t>
            </w:r>
          </w:p>
        </w:tc>
      </w:tr>
      <w:tr>
        <w:trPr>
          <w:trHeight w:val="20"/>
        </w:trPr>
        <w:tc>
          <w:tcPr>
            <w:tcW w:w="94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4"/>
          <w:szCs w:val="24"/>
          <w:color w:val="auto"/>
        </w:rPr>
      </w:pPr>
    </w:p>
    <w:p>
      <w:pPr>
        <w:jc w:val="both"/>
        <w:ind w:right="20" w:firstLine="486"/>
        <w:spacing w:after="0" w:line="300" w:lineRule="auto"/>
        <w:rPr>
          <w:sz w:val="20"/>
          <w:szCs w:val="20"/>
          <w:color w:val="auto"/>
        </w:rPr>
      </w:pPr>
      <w:r>
        <w:rPr>
          <w:rFonts w:ascii="Times New Roman" w:cs="Times New Roman" w:eastAsia="Times New Roman" w:hAnsi="Times New Roman"/>
          <w:sz w:val="14"/>
          <w:szCs w:val="14"/>
          <w:color w:val="auto"/>
        </w:rPr>
        <w:t>The aggregate market value of the voting common stock held by non-affiliates of the registrant as of June 30, 2024 was $3,558,323,640. For the purpose of the foregoing calculation only, all directors and executive officers of the registrant are assumed to be affiliates of the registrant.</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84"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4"/>
          <w:szCs w:val="14"/>
          <w:color w:val="auto"/>
        </w:rPr>
        <w:t>Portions of the registrant's proxy statement for its 2025 Annual Meeting of Stockholders are incorporated by reference into Part III herein.</w:t>
      </w:r>
    </w:p>
    <w:p>
      <w:pPr>
        <w:sectPr>
          <w:pgSz w:w="11900" w:h="16881" w:orient="portrait"/>
          <w:cols w:equalWidth="0" w:num="1">
            <w:col w:w="11240"/>
          </w:cols>
          <w:pgMar w:left="320" w:top="225" w:right="339" w:bottom="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247650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580" w:type="dxa"/>
            <w:vAlign w:val="bottom"/>
            <w:gridSpan w:val="20"/>
          </w:tcPr>
          <w:p>
            <w:pPr>
              <w:jc w:val="center"/>
              <w:ind w:right="36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9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20" w:type="dxa"/>
            <w:vAlign w:val="bottom"/>
            <w:gridSpan w:val="6"/>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194"/>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20" w:type="dxa"/>
            <w:vAlign w:val="bottom"/>
            <w:gridSpan w:val="6"/>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Number</w:t>
            </w:r>
          </w:p>
        </w:tc>
      </w:tr>
      <w:tr>
        <w:trPr>
          <w:trHeight w:val="175"/>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Borders>
              <w:bottom w:val="single" w:sz="8" w:color="0000FF"/>
            </w:tcBorders>
            <w:gridSpan w:val="4"/>
          </w:tcPr>
          <w:p>
            <w:pPr>
              <w:jc w:val="center"/>
              <w:ind w:right="20"/>
              <w:spacing w:after="0" w:line="176" w:lineRule="exact"/>
              <w:rPr>
                <w:sz w:val="20"/>
                <w:szCs w:val="20"/>
                <w:color w:val="auto"/>
              </w:rPr>
            </w:pPr>
            <w:r>
              <w:rPr>
                <w:rFonts w:ascii="Times New Roman" w:cs="Times New Roman" w:eastAsia="Times New Roman" w:hAnsi="Times New Roman"/>
                <w:sz w:val="18"/>
                <w:szCs w:val="18"/>
                <w:b w:val="1"/>
                <w:bCs w:val="1"/>
                <w:color w:val="0000FF"/>
                <w:w w:val="95"/>
              </w:rPr>
              <w:t>PART I</w:t>
            </w:r>
          </w:p>
        </w:tc>
        <w:tc>
          <w:tcPr>
            <w:tcW w:w="4300" w:type="dxa"/>
            <w:vAlign w:val="bottom"/>
            <w:gridSpan w:val="10"/>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460" w:type="dxa"/>
            <w:vAlign w:val="bottom"/>
            <w:gridSpan w:val="2"/>
          </w:tcPr>
          <w:p>
            <w:pPr>
              <w:spacing w:after="0"/>
              <w:rPr>
                <w:sz w:val="18"/>
                <w:szCs w:val="18"/>
                <w:color w:val="auto"/>
              </w:rPr>
            </w:pPr>
          </w:p>
        </w:tc>
        <w:tc>
          <w:tcPr>
            <w:tcW w:w="6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Business</w:t>
            </w:r>
          </w:p>
        </w:tc>
        <w:tc>
          <w:tcPr>
            <w:tcW w:w="8580" w:type="dxa"/>
            <w:vAlign w:val="bottom"/>
            <w:gridSpan w:val="41"/>
          </w:tcPr>
          <w:p>
            <w:pPr>
              <w:spacing w:after="0"/>
              <w:rPr>
                <w:sz w:val="18"/>
                <w:szCs w:val="18"/>
                <w:color w:val="auto"/>
              </w:rPr>
            </w:pPr>
          </w:p>
        </w:tc>
        <w:tc>
          <w:tcPr>
            <w:tcW w:w="880" w:type="dxa"/>
            <w:vAlign w:val="bottom"/>
            <w:gridSpan w:val="3"/>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7"/>
              </w:rPr>
              <w:t>Item 1A.</w:t>
            </w:r>
          </w:p>
        </w:tc>
        <w:tc>
          <w:tcPr>
            <w:tcW w:w="380" w:type="dxa"/>
            <w:vAlign w:val="bottom"/>
          </w:tcPr>
          <w:p>
            <w:pPr>
              <w:spacing w:after="0"/>
              <w:rPr>
                <w:sz w:val="18"/>
                <w:szCs w:val="18"/>
                <w:color w:val="auto"/>
              </w:rPr>
            </w:pPr>
          </w:p>
        </w:tc>
        <w:tc>
          <w:tcPr>
            <w:tcW w:w="9220" w:type="dxa"/>
            <w:vAlign w:val="bottom"/>
            <w:gridSpan w:val="42"/>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20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Item 1B.</w:t>
            </w:r>
          </w:p>
        </w:tc>
        <w:tc>
          <w:tcPr>
            <w:tcW w:w="380" w:type="dxa"/>
            <w:vAlign w:val="bottom"/>
          </w:tcPr>
          <w:p>
            <w:pPr>
              <w:spacing w:after="0"/>
              <w:rPr>
                <w:sz w:val="18"/>
                <w:szCs w:val="18"/>
                <w:color w:val="auto"/>
              </w:rPr>
            </w:pPr>
          </w:p>
        </w:tc>
        <w:tc>
          <w:tcPr>
            <w:tcW w:w="9220" w:type="dxa"/>
            <w:vAlign w:val="bottom"/>
            <w:gridSpan w:val="42"/>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38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Item 1C.</w:t>
            </w:r>
          </w:p>
        </w:tc>
        <w:tc>
          <w:tcPr>
            <w:tcW w:w="380" w:type="dxa"/>
            <w:vAlign w:val="bottom"/>
          </w:tcPr>
          <w:p>
            <w:pPr>
              <w:spacing w:after="0"/>
              <w:rPr>
                <w:sz w:val="18"/>
                <w:szCs w:val="18"/>
                <w:color w:val="auto"/>
              </w:rPr>
            </w:pPr>
          </w:p>
        </w:tc>
        <w:tc>
          <w:tcPr>
            <w:tcW w:w="20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7180" w:type="dxa"/>
            <w:vAlign w:val="bottom"/>
            <w:gridSpan w:val="30"/>
          </w:tcPr>
          <w:p>
            <w:pPr>
              <w:spacing w:after="0"/>
              <w:rPr>
                <w:sz w:val="18"/>
                <w:szCs w:val="18"/>
                <w:color w:val="auto"/>
              </w:rPr>
            </w:pP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38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460" w:type="dxa"/>
            <w:vAlign w:val="bottom"/>
            <w:tcBorders>
              <w:top w:val="single" w:sz="8" w:color="0000FF"/>
            </w:tcBorders>
            <w:gridSpan w:val="2"/>
          </w:tcPr>
          <w:p>
            <w:pPr>
              <w:spacing w:after="0"/>
              <w:rPr>
                <w:sz w:val="18"/>
                <w:szCs w:val="18"/>
                <w:color w:val="auto"/>
              </w:rPr>
            </w:pPr>
          </w:p>
        </w:tc>
        <w:tc>
          <w:tcPr>
            <w:tcW w:w="100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8220" w:type="dxa"/>
            <w:vAlign w:val="bottom"/>
            <w:gridSpan w:val="38"/>
          </w:tcPr>
          <w:p>
            <w:pPr>
              <w:spacing w:after="0"/>
              <w:rPr>
                <w:sz w:val="18"/>
                <w:szCs w:val="18"/>
                <w:color w:val="auto"/>
              </w:rPr>
            </w:pP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40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460" w:type="dxa"/>
            <w:vAlign w:val="bottom"/>
            <w:gridSpan w:val="2"/>
          </w:tcPr>
          <w:p>
            <w:pPr>
              <w:spacing w:after="0"/>
              <w:rPr>
                <w:sz w:val="18"/>
                <w:szCs w:val="18"/>
                <w:color w:val="auto"/>
              </w:rPr>
            </w:pPr>
          </w:p>
        </w:tc>
        <w:tc>
          <w:tcPr>
            <w:tcW w:w="13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7"/>
              </w:rPr>
              <w:t>Legal Proceedings</w:t>
            </w:r>
          </w:p>
        </w:tc>
        <w:tc>
          <w:tcPr>
            <w:tcW w:w="7880" w:type="dxa"/>
            <w:vAlign w:val="bottom"/>
            <w:gridSpan w:val="36"/>
          </w:tcPr>
          <w:p>
            <w:pPr>
              <w:spacing w:after="0"/>
              <w:rPr>
                <w:sz w:val="18"/>
                <w:szCs w:val="18"/>
                <w:color w:val="auto"/>
              </w:rPr>
            </w:pP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40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gridSpan w:val="3"/>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460" w:type="dxa"/>
            <w:vAlign w:val="bottom"/>
            <w:gridSpan w:val="2"/>
          </w:tcPr>
          <w:p>
            <w:pPr>
              <w:spacing w:after="0"/>
              <w:rPr>
                <w:sz w:val="18"/>
                <w:szCs w:val="18"/>
                <w:color w:val="auto"/>
              </w:rPr>
            </w:pPr>
          </w:p>
        </w:tc>
        <w:tc>
          <w:tcPr>
            <w:tcW w:w="9220" w:type="dxa"/>
            <w:vAlign w:val="bottom"/>
            <w:gridSpan w:val="42"/>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41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2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Borders>
              <w:bottom w:val="single" w:sz="8" w:color="0000FF"/>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0000FF"/>
                <w:w w:val="97"/>
              </w:rPr>
              <w:t>PART II</w:t>
            </w:r>
          </w:p>
        </w:tc>
        <w:tc>
          <w:tcPr>
            <w:tcW w:w="4280" w:type="dxa"/>
            <w:vAlign w:val="bottom"/>
            <w:gridSpan w:val="9"/>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5.</w:t>
            </w:r>
          </w:p>
        </w:tc>
        <w:tc>
          <w:tcPr>
            <w:tcW w:w="380" w:type="dxa"/>
            <w:vAlign w:val="bottom"/>
          </w:tcPr>
          <w:p>
            <w:pPr>
              <w:spacing w:after="0"/>
              <w:rPr>
                <w:sz w:val="18"/>
                <w:szCs w:val="18"/>
                <w:color w:val="auto"/>
              </w:rPr>
            </w:pPr>
          </w:p>
        </w:tc>
        <w:tc>
          <w:tcPr>
            <w:tcW w:w="8100" w:type="dxa"/>
            <w:vAlign w:val="bottom"/>
            <w:tcBorders>
              <w:bottom w:val="single" w:sz="8" w:color="0000FF"/>
            </w:tcBorders>
            <w:gridSpan w:val="40"/>
          </w:tcPr>
          <w:p>
            <w:pPr>
              <w:spacing w:after="0"/>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c>
          <w:tcPr>
            <w:tcW w:w="1120" w:type="dxa"/>
            <w:vAlign w:val="bottom"/>
            <w:gridSpan w:val="2"/>
          </w:tcPr>
          <w:p>
            <w:pPr>
              <w:spacing w:after="0"/>
              <w:rPr>
                <w:sz w:val="18"/>
                <w:szCs w:val="18"/>
                <w:color w:val="auto"/>
              </w:rPr>
            </w:pP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42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6.</w:t>
            </w:r>
          </w:p>
        </w:tc>
        <w:tc>
          <w:tcPr>
            <w:tcW w:w="460" w:type="dxa"/>
            <w:vAlign w:val="bottom"/>
            <w:gridSpan w:val="2"/>
          </w:tcPr>
          <w:p>
            <w:pPr>
              <w:spacing w:after="0"/>
              <w:rPr>
                <w:sz w:val="18"/>
                <w:szCs w:val="18"/>
                <w:color w:val="auto"/>
              </w:rPr>
            </w:pPr>
          </w:p>
        </w:tc>
        <w:tc>
          <w:tcPr>
            <w:tcW w:w="9220" w:type="dxa"/>
            <w:vAlign w:val="bottom"/>
            <w:gridSpan w:val="42"/>
          </w:tcPr>
          <w:p>
            <w:pPr>
              <w:spacing w:after="0"/>
              <w:rPr>
                <w:sz w:val="20"/>
                <w:szCs w:val="20"/>
                <w:color w:val="auto"/>
              </w:rPr>
            </w:pPr>
            <w:r>
              <w:rPr>
                <w:rFonts w:ascii="Times New Roman" w:cs="Times New Roman" w:eastAsia="Times New Roman" w:hAnsi="Times New Roman"/>
                <w:sz w:val="18"/>
                <w:szCs w:val="18"/>
                <w:color w:val="0000FF"/>
              </w:rPr>
              <w:t>Reserved</w:t>
            </w: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42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7.</w:t>
            </w:r>
          </w:p>
        </w:tc>
        <w:tc>
          <w:tcPr>
            <w:tcW w:w="460" w:type="dxa"/>
            <w:vAlign w:val="bottom"/>
            <w:gridSpan w:val="2"/>
          </w:tcPr>
          <w:p>
            <w:pPr>
              <w:spacing w:after="0"/>
              <w:rPr>
                <w:sz w:val="18"/>
                <w:szCs w:val="18"/>
                <w:color w:val="auto"/>
              </w:rPr>
            </w:pPr>
          </w:p>
        </w:tc>
        <w:tc>
          <w:tcPr>
            <w:tcW w:w="644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780" w:type="dxa"/>
            <w:vAlign w:val="bottom"/>
            <w:gridSpan w:val="5"/>
          </w:tcPr>
          <w:p>
            <w:pPr>
              <w:spacing w:after="0"/>
              <w:rPr>
                <w:sz w:val="18"/>
                <w:szCs w:val="18"/>
                <w:color w:val="auto"/>
              </w:rPr>
            </w:pP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43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gridSpan w:val="5"/>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7"/>
              </w:rPr>
              <w:t>Item 7A.</w:t>
            </w:r>
          </w:p>
        </w:tc>
        <w:tc>
          <w:tcPr>
            <w:tcW w:w="380" w:type="dxa"/>
            <w:vAlign w:val="bottom"/>
          </w:tcPr>
          <w:p>
            <w:pPr>
              <w:spacing w:after="0"/>
              <w:rPr>
                <w:sz w:val="18"/>
                <w:szCs w:val="18"/>
                <w:color w:val="auto"/>
              </w:rPr>
            </w:pPr>
          </w:p>
        </w:tc>
        <w:tc>
          <w:tcPr>
            <w:tcW w:w="436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860" w:type="dxa"/>
            <w:vAlign w:val="bottom"/>
            <w:gridSpan w:val="13"/>
          </w:tcPr>
          <w:p>
            <w:pPr>
              <w:spacing w:after="0"/>
              <w:rPr>
                <w:sz w:val="18"/>
                <w:szCs w:val="18"/>
                <w:color w:val="auto"/>
              </w:rPr>
            </w:pP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83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1160" w:type="dxa"/>
            <w:vAlign w:val="bottom"/>
            <w:gridSpan w:val="5"/>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36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4860" w:type="dxa"/>
            <w:vAlign w:val="bottom"/>
            <w:gridSpan w:val="13"/>
          </w:tcPr>
          <w:p>
            <w:pPr>
              <w:spacing w:after="0"/>
              <w:rPr>
                <w:sz w:val="18"/>
                <w:szCs w:val="18"/>
                <w:color w:val="auto"/>
              </w:rPr>
            </w:pP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85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gridSpan w:val="5"/>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7"/>
              </w:rPr>
              <w:t>Note 1—Organization</w:t>
            </w:r>
          </w:p>
        </w:tc>
        <w:tc>
          <w:tcPr>
            <w:tcW w:w="1720" w:type="dxa"/>
            <w:vAlign w:val="bottom"/>
            <w:gridSpan w:val="14"/>
          </w:tcPr>
          <w:p>
            <w:pPr>
              <w:spacing w:after="0"/>
              <w:rPr>
                <w:sz w:val="18"/>
                <w:szCs w:val="18"/>
                <w:color w:val="auto"/>
              </w:rPr>
            </w:pPr>
          </w:p>
        </w:tc>
        <w:tc>
          <w:tcPr>
            <w:tcW w:w="5900" w:type="dxa"/>
            <w:vAlign w:val="bottom"/>
            <w:gridSpan w:val="21"/>
          </w:tcPr>
          <w:p>
            <w:pPr>
              <w:spacing w:after="0"/>
              <w:rPr>
                <w:sz w:val="18"/>
                <w:szCs w:val="18"/>
                <w:color w:val="auto"/>
              </w:rPr>
            </w:pP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94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9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w w:val="99"/>
              </w:rPr>
              <w:t>Note 2—Summary of Significant Accounting Policies</w:t>
            </w:r>
          </w:p>
        </w:tc>
        <w:tc>
          <w:tcPr>
            <w:tcW w:w="5320" w:type="dxa"/>
            <w:vAlign w:val="bottom"/>
            <w:gridSpan w:val="19"/>
          </w:tcPr>
          <w:p>
            <w:pPr>
              <w:spacing w:after="0"/>
              <w:rPr>
                <w:sz w:val="18"/>
                <w:szCs w:val="18"/>
                <w:color w:val="auto"/>
              </w:rPr>
            </w:pP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95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2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w w:val="99"/>
              </w:rPr>
              <w:t>Note 3—Financial Instruments and Fair Value Measurements</w:t>
            </w:r>
          </w:p>
        </w:tc>
        <w:tc>
          <w:tcPr>
            <w:tcW w:w="4800" w:type="dxa"/>
            <w:vAlign w:val="bottom"/>
            <w:gridSpan w:val="12"/>
          </w:tcPr>
          <w:p>
            <w:pPr>
              <w:spacing w:after="0"/>
              <w:rPr>
                <w:sz w:val="18"/>
                <w:szCs w:val="18"/>
                <w:color w:val="auto"/>
              </w:rPr>
            </w:pPr>
          </w:p>
        </w:tc>
        <w:tc>
          <w:tcPr>
            <w:tcW w:w="10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113</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gridSpan w:val="5"/>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9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w w:val="99"/>
              </w:rPr>
              <w:t>Note 4—Goodwill and Intangible Assets</w:t>
            </w:r>
          </w:p>
        </w:tc>
        <w:tc>
          <w:tcPr>
            <w:tcW w:w="1480" w:type="dxa"/>
            <w:vAlign w:val="bottom"/>
            <w:gridSpan w:val="11"/>
          </w:tcPr>
          <w:p>
            <w:pPr>
              <w:spacing w:after="0"/>
              <w:rPr>
                <w:sz w:val="18"/>
                <w:szCs w:val="18"/>
                <w:color w:val="auto"/>
              </w:rPr>
            </w:pPr>
          </w:p>
        </w:tc>
        <w:tc>
          <w:tcPr>
            <w:tcW w:w="4800" w:type="dxa"/>
            <w:vAlign w:val="bottom"/>
            <w:gridSpan w:val="12"/>
          </w:tcPr>
          <w:p>
            <w:pPr>
              <w:spacing w:after="0"/>
              <w:rPr>
                <w:sz w:val="18"/>
                <w:szCs w:val="18"/>
                <w:color w:val="auto"/>
              </w:rPr>
            </w:pPr>
          </w:p>
        </w:tc>
        <w:tc>
          <w:tcPr>
            <w:tcW w:w="10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116</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8"/>
              </w:rPr>
              <w:t>Note 5—Leases</w:t>
            </w:r>
          </w:p>
        </w:tc>
        <w:tc>
          <w:tcPr>
            <w:tcW w:w="1780" w:type="dxa"/>
            <w:vAlign w:val="bottom"/>
            <w:gridSpan w:val="14"/>
          </w:tcPr>
          <w:p>
            <w:pPr>
              <w:spacing w:after="0"/>
              <w:rPr>
                <w:sz w:val="18"/>
                <w:szCs w:val="18"/>
                <w:color w:val="auto"/>
              </w:rPr>
            </w:pPr>
          </w:p>
        </w:tc>
        <w:tc>
          <w:tcPr>
            <w:tcW w:w="6280" w:type="dxa"/>
            <w:vAlign w:val="bottom"/>
            <w:gridSpan w:val="23"/>
          </w:tcPr>
          <w:p>
            <w:pPr>
              <w:spacing w:after="0"/>
              <w:rPr>
                <w:sz w:val="18"/>
                <w:szCs w:val="18"/>
                <w:color w:val="auto"/>
              </w:rPr>
            </w:pPr>
          </w:p>
        </w:tc>
        <w:tc>
          <w:tcPr>
            <w:tcW w:w="10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119</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gridSpan w:val="5"/>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8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8"/>
              </w:rPr>
              <w:t>Note 6—Long-Term Debt</w:t>
            </w:r>
          </w:p>
        </w:tc>
        <w:tc>
          <w:tcPr>
            <w:tcW w:w="7340" w:type="dxa"/>
            <w:vAlign w:val="bottom"/>
            <w:gridSpan w:val="31"/>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88"/>
              </w:rPr>
              <w:t>121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8"/>
              </w:rPr>
              <w:t>Note 7—Shareholders' Equity</w:t>
            </w:r>
          </w:p>
        </w:tc>
        <w:tc>
          <w:tcPr>
            <w:tcW w:w="7060" w:type="dxa"/>
            <w:vAlign w:val="bottom"/>
            <w:gridSpan w:val="29"/>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88"/>
              </w:rPr>
              <w:t>124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4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9"/>
              </w:rPr>
              <w:t>Note 8—Accumulated Other Comprehensive Loss</w:t>
            </w:r>
          </w:p>
        </w:tc>
        <w:tc>
          <w:tcPr>
            <w:tcW w:w="5580" w:type="dxa"/>
            <w:vAlign w:val="bottom"/>
            <w:gridSpan w:val="20"/>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88"/>
              </w:rPr>
              <w:t>125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Note 9—Segment Information</w:t>
            </w:r>
          </w:p>
        </w:tc>
        <w:tc>
          <w:tcPr>
            <w:tcW w:w="7020" w:type="dxa"/>
            <w:vAlign w:val="bottom"/>
            <w:gridSpan w:val="28"/>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88"/>
              </w:rPr>
              <w:t>126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76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Note 10—Stock-Based Compensation</w:t>
            </w:r>
          </w:p>
        </w:tc>
        <w:tc>
          <w:tcPr>
            <w:tcW w:w="6460" w:type="dxa"/>
            <w:vAlign w:val="bottom"/>
            <w:gridSpan w:val="25"/>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88"/>
              </w:rPr>
              <w:t>133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20" w:type="dxa"/>
            <w:vAlign w:val="bottom"/>
            <w:gridSpan w:val="42"/>
          </w:tcPr>
          <w:p>
            <w:pPr>
              <w:spacing w:after="0"/>
              <w:rPr>
                <w:sz w:val="20"/>
                <w:szCs w:val="20"/>
                <w:color w:val="auto"/>
              </w:rPr>
            </w:pPr>
            <w:r>
              <w:rPr>
                <w:rFonts w:ascii="Times New Roman" w:cs="Times New Roman" w:eastAsia="Times New Roman" w:hAnsi="Times New Roman"/>
                <w:sz w:val="18"/>
                <w:szCs w:val="18"/>
                <w:color w:val="0000FF"/>
              </w:rPr>
              <w:t>Note 11—Pension and Post-Retirement Benefit Plans</w:t>
            </w:r>
          </w:p>
        </w:tc>
        <w:tc>
          <w:tcPr>
            <w:tcW w:w="10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137</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6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Note 12—Income Taxes</w:t>
            </w:r>
          </w:p>
        </w:tc>
        <w:tc>
          <w:tcPr>
            <w:tcW w:w="2140" w:type="dxa"/>
            <w:vAlign w:val="bottom"/>
            <w:tcBorders>
              <w:top w:val="single" w:sz="8" w:color="0000FF"/>
            </w:tcBorders>
            <w:gridSpan w:val="15"/>
          </w:tcPr>
          <w:p>
            <w:pPr>
              <w:spacing w:after="0"/>
              <w:rPr>
                <w:sz w:val="18"/>
                <w:szCs w:val="18"/>
                <w:color w:val="auto"/>
              </w:rPr>
            </w:pPr>
          </w:p>
        </w:tc>
        <w:tc>
          <w:tcPr>
            <w:tcW w:w="5320" w:type="dxa"/>
            <w:vAlign w:val="bottom"/>
            <w:gridSpan w:val="19"/>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Borders>
              <w:top w:val="single" w:sz="8" w:color="0000FF"/>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88"/>
              </w:rPr>
              <w:t>146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8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Note 13—(Loss) Earnings Per Share</w:t>
            </w:r>
          </w:p>
        </w:tc>
        <w:tc>
          <w:tcPr>
            <w:tcW w:w="6540" w:type="dxa"/>
            <w:vAlign w:val="bottom"/>
            <w:gridSpan w:val="27"/>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88"/>
              </w:rPr>
              <w:t>148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20" w:type="dxa"/>
            <w:vAlign w:val="bottom"/>
            <w:gridSpan w:val="42"/>
          </w:tcPr>
          <w:p>
            <w:pPr>
              <w:spacing w:after="0"/>
              <w:rPr>
                <w:sz w:val="20"/>
                <w:szCs w:val="20"/>
                <w:color w:val="auto"/>
              </w:rPr>
            </w:pPr>
            <w:r>
              <w:rPr>
                <w:rFonts w:ascii="Times New Roman" w:cs="Times New Roman" w:eastAsia="Times New Roman" w:hAnsi="Times New Roman"/>
                <w:sz w:val="18"/>
                <w:szCs w:val="18"/>
                <w:color w:val="0000FF"/>
              </w:rPr>
              <w:t>Note 14—Financial Statement Details</w:t>
            </w:r>
          </w:p>
        </w:tc>
        <w:tc>
          <w:tcPr>
            <w:tcW w:w="10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151</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74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Note 15—Contingencies</w:t>
            </w:r>
          </w:p>
        </w:tc>
        <w:tc>
          <w:tcPr>
            <w:tcW w:w="6480" w:type="dxa"/>
            <w:vAlign w:val="bottom"/>
            <w:gridSpan w:val="26"/>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Borders>
              <w:top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88"/>
              </w:rPr>
              <w:t>154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Borders>
              <w:right w:val="single" w:sz="8" w:color="0000FF"/>
            </w:tcBorders>
            <w:gridSpan w:val="6"/>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20" w:type="dxa"/>
            <w:vAlign w:val="bottom"/>
            <w:gridSpan w:val="42"/>
          </w:tcPr>
          <w:p>
            <w:pPr>
              <w:spacing w:after="0"/>
              <w:rPr>
                <w:sz w:val="20"/>
                <w:szCs w:val="20"/>
                <w:color w:val="auto"/>
              </w:rPr>
            </w:pPr>
            <w:r>
              <w:rPr>
                <w:rFonts w:ascii="Times New Roman" w:cs="Times New Roman" w:eastAsia="Times New Roman" w:hAnsi="Times New Roman"/>
                <w:sz w:val="18"/>
                <w:szCs w:val="18"/>
                <w:color w:val="0000FF"/>
              </w:rPr>
              <w:t>Note 16—Related Party Transactions</w:t>
            </w:r>
          </w:p>
        </w:tc>
        <w:tc>
          <w:tcPr>
            <w:tcW w:w="10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154</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40" w:type="dxa"/>
            <w:vAlign w:val="bottom"/>
            <w:tcBorders>
              <w:bottom w:val="single" w:sz="8" w:color="0000FF"/>
            </w:tcBorders>
            <w:gridSpan w:val="41"/>
          </w:tcPr>
          <w:p>
            <w:pPr>
              <w:spacing w:after="0"/>
              <w:rPr>
                <w:sz w:val="20"/>
                <w:szCs w:val="20"/>
                <w:color w:val="auto"/>
              </w:rPr>
            </w:pPr>
            <w:r>
              <w:rPr>
                <w:rFonts w:ascii="Times New Roman" w:cs="Times New Roman" w:eastAsia="Times New Roman" w:hAnsi="Times New Roman"/>
                <w:sz w:val="18"/>
                <w:szCs w:val="18"/>
                <w:color w:val="0000FF"/>
                <w:w w:val="99"/>
              </w:rPr>
              <w:t>Note 17—Dotdash Meredith Restructuring Charges, Transaction-Related Expenses and Change-in-Control Payments</w:t>
            </w: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88"/>
              </w:rPr>
              <w:t>156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20" w:type="dxa"/>
            <w:vAlign w:val="bottom"/>
            <w:gridSpan w:val="42"/>
          </w:tcPr>
          <w:p>
            <w:pPr>
              <w:spacing w:after="0"/>
              <w:rPr>
                <w:sz w:val="20"/>
                <w:szCs w:val="20"/>
                <w:color w:val="auto"/>
              </w:rPr>
            </w:pPr>
            <w:r>
              <w:rPr>
                <w:rFonts w:ascii="Times New Roman" w:cs="Times New Roman" w:eastAsia="Times New Roman" w:hAnsi="Times New Roman"/>
                <w:sz w:val="18"/>
                <w:szCs w:val="18"/>
                <w:color w:val="0000FF"/>
              </w:rPr>
              <w:t>Note 18—Subsequent Event</w:t>
            </w:r>
          </w:p>
        </w:tc>
        <w:tc>
          <w:tcPr>
            <w:tcW w:w="10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157</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Borders>
              <w:right w:val="single" w:sz="8" w:color="0000FF"/>
            </w:tcBorders>
            <w:gridSpan w:val="6"/>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9.</w:t>
            </w:r>
          </w:p>
        </w:tc>
        <w:tc>
          <w:tcPr>
            <w:tcW w:w="460" w:type="dxa"/>
            <w:vAlign w:val="bottom"/>
            <w:gridSpan w:val="2"/>
          </w:tcPr>
          <w:p>
            <w:pPr>
              <w:spacing w:after="0"/>
              <w:rPr>
                <w:sz w:val="18"/>
                <w:szCs w:val="18"/>
                <w:color w:val="auto"/>
              </w:rPr>
            </w:pPr>
          </w:p>
        </w:tc>
        <w:tc>
          <w:tcPr>
            <w:tcW w:w="6480" w:type="dxa"/>
            <w:vAlign w:val="bottom"/>
            <w:tcBorders>
              <w:bottom w:val="single" w:sz="8" w:color="0000FF"/>
            </w:tcBorders>
            <w:gridSpan w:val="38"/>
          </w:tcPr>
          <w:p>
            <w:pPr>
              <w:spacing w:after="0"/>
              <w:rPr>
                <w:sz w:val="20"/>
                <w:szCs w:val="20"/>
                <w:color w:val="auto"/>
              </w:rPr>
            </w:pPr>
            <w:r>
              <w:rPr>
                <w:rFonts w:ascii="Times New Roman" w:cs="Times New Roman" w:eastAsia="Times New Roman" w:hAnsi="Times New Roman"/>
                <w:sz w:val="18"/>
                <w:szCs w:val="18"/>
                <w:color w:val="0000FF"/>
                <w:w w:val="99"/>
              </w:rPr>
              <w:t>Changes in and Disagreements with Accountants on Accounting and Financial Disclosure</w:t>
            </w:r>
          </w:p>
        </w:tc>
        <w:tc>
          <w:tcPr>
            <w:tcW w:w="2740" w:type="dxa"/>
            <w:vAlign w:val="bottom"/>
            <w:gridSpan w:val="4"/>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88"/>
              </w:rPr>
              <w:t>158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7"/>
              </w:rPr>
              <w:t>Item 9A.</w:t>
            </w:r>
          </w:p>
        </w:tc>
        <w:tc>
          <w:tcPr>
            <w:tcW w:w="380" w:type="dxa"/>
            <w:vAlign w:val="bottom"/>
          </w:tcPr>
          <w:p>
            <w:pPr>
              <w:spacing w:after="0"/>
              <w:rPr>
                <w:sz w:val="18"/>
                <w:szCs w:val="18"/>
                <w:color w:val="auto"/>
              </w:rPr>
            </w:pPr>
          </w:p>
        </w:tc>
        <w:tc>
          <w:tcPr>
            <w:tcW w:w="9220" w:type="dxa"/>
            <w:vAlign w:val="bottom"/>
            <w:gridSpan w:val="42"/>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0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158</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Item 9B.</w:t>
            </w:r>
          </w:p>
        </w:tc>
        <w:tc>
          <w:tcPr>
            <w:tcW w:w="380" w:type="dxa"/>
            <w:vAlign w:val="bottom"/>
          </w:tcPr>
          <w:p>
            <w:pPr>
              <w:spacing w:after="0"/>
              <w:rPr>
                <w:sz w:val="18"/>
                <w:szCs w:val="18"/>
                <w:color w:val="auto"/>
              </w:rPr>
            </w:pPr>
          </w:p>
        </w:tc>
        <w:tc>
          <w:tcPr>
            <w:tcW w:w="134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20" w:type="dxa"/>
            <w:vAlign w:val="bottom"/>
            <w:tcBorders>
              <w:top w:val="single" w:sz="8" w:color="0000FF"/>
            </w:tcBorders>
            <w:gridSpan w:val="2"/>
          </w:tcPr>
          <w:p>
            <w:pPr>
              <w:spacing w:after="0"/>
              <w:rPr>
                <w:sz w:val="18"/>
                <w:szCs w:val="18"/>
                <w:color w:val="auto"/>
              </w:rPr>
            </w:pPr>
          </w:p>
        </w:tc>
        <w:tc>
          <w:tcPr>
            <w:tcW w:w="7460" w:type="dxa"/>
            <w:vAlign w:val="bottom"/>
            <w:gridSpan w:val="34"/>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Borders>
              <w:top w:val="single" w:sz="8" w:color="0000FF"/>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88"/>
              </w:rPr>
              <w:t>160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Item 9C.</w:t>
            </w:r>
          </w:p>
        </w:tc>
        <w:tc>
          <w:tcPr>
            <w:tcW w:w="380" w:type="dxa"/>
            <w:vAlign w:val="bottom"/>
          </w:tcPr>
          <w:p>
            <w:pPr>
              <w:spacing w:after="0"/>
              <w:rPr>
                <w:sz w:val="18"/>
                <w:szCs w:val="18"/>
                <w:color w:val="auto"/>
              </w:rPr>
            </w:pPr>
          </w:p>
        </w:tc>
        <w:tc>
          <w:tcPr>
            <w:tcW w:w="4900" w:type="dxa"/>
            <w:vAlign w:val="bottom"/>
            <w:tcBorders>
              <w:bottom w:val="single" w:sz="8" w:color="0000FF"/>
            </w:tcBorders>
            <w:gridSpan w:val="31"/>
          </w:tcPr>
          <w:p>
            <w:pPr>
              <w:spacing w:after="0"/>
              <w:rPr>
                <w:sz w:val="20"/>
                <w:szCs w:val="20"/>
                <w:color w:val="auto"/>
              </w:rPr>
            </w:pPr>
            <w:r>
              <w:rPr>
                <w:rFonts w:ascii="Times New Roman" w:cs="Times New Roman" w:eastAsia="Times New Roman" w:hAnsi="Times New Roman"/>
                <w:sz w:val="18"/>
                <w:szCs w:val="18"/>
                <w:color w:val="0000FF"/>
                <w:w w:val="99"/>
              </w:rPr>
              <w:t>Disclosure Regarding Foreign Jurisdictions that Prevent Inspections</w:t>
            </w:r>
          </w:p>
        </w:tc>
        <w:tc>
          <w:tcPr>
            <w:tcW w:w="4320" w:type="dxa"/>
            <w:vAlign w:val="bottom"/>
            <w:gridSpan w:val="11"/>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88"/>
              </w:rPr>
              <w:t>160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Borders>
              <w:bottom w:val="single" w:sz="8" w:color="0000FF"/>
            </w:tcBorders>
            <w:gridSpan w:val="10"/>
          </w:tcPr>
          <w:p>
            <w:pPr>
              <w:jc w:val="center"/>
              <w:spacing w:after="0"/>
              <w:rPr>
                <w:sz w:val="20"/>
                <w:szCs w:val="20"/>
                <w:color w:val="auto"/>
              </w:rPr>
            </w:pPr>
            <w:r>
              <w:rPr>
                <w:rFonts w:ascii="Times New Roman" w:cs="Times New Roman" w:eastAsia="Times New Roman" w:hAnsi="Times New Roman"/>
                <w:sz w:val="18"/>
                <w:szCs w:val="18"/>
                <w:b w:val="1"/>
                <w:bCs w:val="1"/>
                <w:color w:val="0000FF"/>
                <w:w w:val="99"/>
              </w:rPr>
              <w:t>PART III</w:t>
            </w:r>
          </w:p>
        </w:tc>
        <w:tc>
          <w:tcPr>
            <w:tcW w:w="4240" w:type="dxa"/>
            <w:vAlign w:val="bottom"/>
            <w:gridSpan w:val="7"/>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10.</w:t>
            </w:r>
          </w:p>
        </w:tc>
        <w:tc>
          <w:tcPr>
            <w:tcW w:w="9220" w:type="dxa"/>
            <w:vAlign w:val="bottom"/>
            <w:gridSpan w:val="42"/>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0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161</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0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3"/>
              </w:rPr>
              <w:t>Item 11.</w:t>
            </w:r>
          </w:p>
        </w:tc>
        <w:tc>
          <w:tcPr>
            <w:tcW w:w="380" w:type="dxa"/>
            <w:vAlign w:val="bottom"/>
          </w:tcPr>
          <w:p>
            <w:pPr>
              <w:spacing w:after="0"/>
              <w:rPr>
                <w:sz w:val="18"/>
                <w:szCs w:val="18"/>
                <w:color w:val="auto"/>
              </w:rPr>
            </w:pPr>
          </w:p>
        </w:tc>
        <w:tc>
          <w:tcPr>
            <w:tcW w:w="4100" w:type="dxa"/>
            <w:vAlign w:val="bottom"/>
            <w:tcBorders>
              <w:top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5120" w:type="dxa"/>
            <w:vAlign w:val="bottom"/>
            <w:gridSpan w:val="18"/>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Borders>
              <w:top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88"/>
              </w:rPr>
              <w:t>161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0" w:type="dxa"/>
            <w:vAlign w:val="bottom"/>
            <w:tcBorders>
              <w:right w:val="single" w:sz="8" w:color="0000FF"/>
            </w:tcBorders>
            <w:gridSpan w:val="7"/>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1060" w:type="dxa"/>
            <w:vAlign w:val="bottom"/>
            <w:gridSpan w:val="8"/>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00" w:type="dxa"/>
            <w:vAlign w:val="bottom"/>
            <w:gridSpan w:val="6"/>
          </w:tcPr>
          <w:p>
            <w:pPr>
              <w:spacing w:after="0" w:line="20" w:lineRule="exact"/>
              <w:rPr>
                <w:sz w:val="1"/>
                <w:szCs w:val="1"/>
                <w:color w:val="auto"/>
              </w:rPr>
            </w:pPr>
          </w:p>
        </w:tc>
        <w:tc>
          <w:tcPr>
            <w:tcW w:w="700" w:type="dxa"/>
            <w:vAlign w:val="bottom"/>
            <w:gridSpan w:val="8"/>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12.</w:t>
            </w:r>
          </w:p>
        </w:tc>
        <w:tc>
          <w:tcPr>
            <w:tcW w:w="9220" w:type="dxa"/>
            <w:vAlign w:val="bottom"/>
            <w:gridSpan w:val="42"/>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10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161</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0" w:type="dxa"/>
            <w:vAlign w:val="bottom"/>
            <w:tcBorders>
              <w:right w:val="single" w:sz="8" w:color="0000FF"/>
            </w:tcBorders>
            <w:gridSpan w:val="7"/>
            <w:shd w:val="clear" w:color="auto" w:fill="0000FF"/>
          </w:tcPr>
          <w:p>
            <w:pPr>
              <w:spacing w:after="0" w:line="20" w:lineRule="exact"/>
              <w:rPr>
                <w:sz w:val="1"/>
                <w:szCs w:val="1"/>
                <w:color w:val="auto"/>
              </w:rPr>
            </w:pPr>
          </w:p>
        </w:tc>
        <w:tc>
          <w:tcPr>
            <w:tcW w:w="1260" w:type="dxa"/>
            <w:vAlign w:val="bottom"/>
            <w:gridSpan w:val="11"/>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100" w:type="dxa"/>
            <w:vAlign w:val="bottom"/>
            <w:gridSpan w:val="6"/>
            <w:shd w:val="clear" w:color="auto" w:fill="0000FF"/>
          </w:tcPr>
          <w:p>
            <w:pPr>
              <w:spacing w:after="0" w:line="20" w:lineRule="exact"/>
              <w:rPr>
                <w:sz w:val="1"/>
                <w:szCs w:val="1"/>
                <w:color w:val="auto"/>
              </w:rPr>
            </w:pPr>
          </w:p>
        </w:tc>
        <w:tc>
          <w:tcPr>
            <w:tcW w:w="700" w:type="dxa"/>
            <w:vAlign w:val="bottom"/>
            <w:gridSpan w:val="8"/>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13.</w:t>
            </w:r>
          </w:p>
        </w:tc>
        <w:tc>
          <w:tcPr>
            <w:tcW w:w="9220" w:type="dxa"/>
            <w:vAlign w:val="bottom"/>
            <w:gridSpan w:val="42"/>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0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161</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0" w:type="dxa"/>
            <w:vAlign w:val="bottom"/>
            <w:tcBorders>
              <w:right w:val="single" w:sz="8" w:color="0000FF"/>
            </w:tcBorders>
            <w:gridSpan w:val="7"/>
            <w:shd w:val="clear" w:color="auto" w:fill="0000FF"/>
          </w:tcPr>
          <w:p>
            <w:pPr>
              <w:spacing w:after="0" w:line="20" w:lineRule="exact"/>
              <w:rPr>
                <w:sz w:val="1"/>
                <w:szCs w:val="1"/>
                <w:color w:val="auto"/>
              </w:rPr>
            </w:pPr>
          </w:p>
        </w:tc>
        <w:tc>
          <w:tcPr>
            <w:tcW w:w="1260" w:type="dxa"/>
            <w:vAlign w:val="bottom"/>
            <w:gridSpan w:val="11"/>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100" w:type="dxa"/>
            <w:vAlign w:val="bottom"/>
            <w:gridSpan w:val="6"/>
            <w:shd w:val="clear" w:color="auto" w:fill="0000FF"/>
          </w:tcPr>
          <w:p>
            <w:pPr>
              <w:spacing w:after="0" w:line="20" w:lineRule="exact"/>
              <w:rPr>
                <w:sz w:val="1"/>
                <w:szCs w:val="1"/>
                <w:color w:val="auto"/>
              </w:rPr>
            </w:pPr>
          </w:p>
        </w:tc>
        <w:tc>
          <w:tcPr>
            <w:tcW w:w="700" w:type="dxa"/>
            <w:vAlign w:val="bottom"/>
            <w:gridSpan w:val="8"/>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780" w:type="dxa"/>
            <w:vAlign w:val="bottom"/>
            <w:gridSpan w:val="6"/>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14.</w:t>
            </w:r>
          </w:p>
        </w:tc>
        <w:tc>
          <w:tcPr>
            <w:tcW w:w="9220" w:type="dxa"/>
            <w:vAlign w:val="bottom"/>
            <w:gridSpan w:val="42"/>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10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161</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8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960" w:type="dxa"/>
            <w:vAlign w:val="bottom"/>
            <w:gridSpan w:val="16"/>
          </w:tcPr>
          <w:p>
            <w:pPr>
              <w:jc w:val="center"/>
              <w:ind w:right="4260"/>
              <w:spacing w:after="0"/>
              <w:rPr>
                <w:sz w:val="20"/>
                <w:szCs w:val="20"/>
                <w:color w:val="auto"/>
              </w:rPr>
            </w:pPr>
            <w:r>
              <w:rPr>
                <w:rFonts w:ascii="Times New Roman" w:cs="Times New Roman" w:eastAsia="Times New Roman" w:hAnsi="Times New Roman"/>
                <w:sz w:val="18"/>
                <w:szCs w:val="18"/>
                <w:b w:val="1"/>
                <w:bCs w:val="1"/>
                <w:color w:val="0000FF"/>
                <w:w w:val="95"/>
              </w:rPr>
              <w:t>PART IV</w:t>
            </w:r>
          </w:p>
        </w:tc>
        <w:tc>
          <w:tcPr>
            <w:tcW w:w="72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15.</w:t>
            </w:r>
          </w:p>
        </w:tc>
        <w:tc>
          <w:tcPr>
            <w:tcW w:w="42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700" w:type="dxa"/>
            <w:vAlign w:val="bottom"/>
            <w:tcBorders>
              <w:top w:val="single" w:sz="8" w:color="0000FF"/>
            </w:tcBorders>
            <w:gridSpan w:val="8"/>
          </w:tcPr>
          <w:p>
            <w:pPr>
              <w:spacing w:after="0"/>
              <w:rPr>
                <w:sz w:val="18"/>
                <w:szCs w:val="18"/>
                <w:color w:val="auto"/>
              </w:rPr>
            </w:pPr>
          </w:p>
        </w:tc>
        <w:tc>
          <w:tcPr>
            <w:tcW w:w="4260" w:type="dxa"/>
            <w:vAlign w:val="bottom"/>
            <w:gridSpan w:val="8"/>
          </w:tcPr>
          <w:p>
            <w:pPr>
              <w:spacing w:after="0"/>
              <w:rPr>
                <w:sz w:val="18"/>
                <w:szCs w:val="18"/>
                <w:color w:val="auto"/>
              </w:rPr>
            </w:pPr>
          </w:p>
        </w:tc>
        <w:tc>
          <w:tcPr>
            <w:tcW w:w="10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162</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0" w:type="dxa"/>
            <w:vAlign w:val="bottom"/>
            <w:tcBorders>
              <w:right w:val="single" w:sz="8" w:color="0000FF"/>
            </w:tcBorders>
            <w:gridSpan w:val="7"/>
            <w:shd w:val="clear" w:color="auto" w:fill="0000FF"/>
          </w:tcPr>
          <w:p>
            <w:pPr>
              <w:spacing w:after="0" w:line="20" w:lineRule="exact"/>
              <w:rPr>
                <w:sz w:val="1"/>
                <w:szCs w:val="1"/>
                <w:color w:val="auto"/>
              </w:rPr>
            </w:pPr>
          </w:p>
        </w:tc>
        <w:tc>
          <w:tcPr>
            <w:tcW w:w="1560" w:type="dxa"/>
            <w:vAlign w:val="bottom"/>
            <w:gridSpan w:val="13"/>
            <w:shd w:val="clear" w:color="auto" w:fill="0000FF"/>
          </w:tcPr>
          <w:p>
            <w:pPr>
              <w:spacing w:after="0" w:line="20" w:lineRule="exact"/>
              <w:rPr>
                <w:sz w:val="1"/>
                <w:szCs w:val="1"/>
                <w:color w:val="auto"/>
              </w:rPr>
            </w:pPr>
          </w:p>
        </w:tc>
        <w:tc>
          <w:tcPr>
            <w:tcW w:w="6060" w:type="dxa"/>
            <w:vAlign w:val="bottom"/>
            <w:gridSpan w:val="22"/>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16.</w:t>
            </w:r>
          </w:p>
        </w:tc>
        <w:tc>
          <w:tcPr>
            <w:tcW w:w="9220" w:type="dxa"/>
            <w:vAlign w:val="bottom"/>
            <w:gridSpan w:val="42"/>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10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167</w:t>
            </w:r>
          </w:p>
        </w:tc>
        <w:tc>
          <w:tcPr>
            <w:tcW w:w="20" w:type="dxa"/>
            <w:vAlign w:val="bottom"/>
          </w:tcPr>
          <w:p>
            <w:pPr>
              <w:spacing w:after="0"/>
              <w:rPr>
                <w:sz w:val="18"/>
                <w:szCs w:val="18"/>
                <w:color w:val="auto"/>
              </w:rPr>
            </w:pPr>
          </w:p>
        </w:tc>
      </w:tr>
      <w:tr>
        <w:trPr>
          <w:trHeight w:val="884"/>
        </w:trPr>
        <w:tc>
          <w:tcPr>
            <w:tcW w:w="2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1600" w:type="dxa"/>
            <w:vAlign w:val="bottom"/>
            <w:tcBorders>
              <w:top w:val="single" w:sz="8" w:color="0000FF"/>
            </w:tcBorders>
            <w:gridSpan w:val="7"/>
          </w:tcPr>
          <w:p>
            <w:pPr>
              <w:spacing w:after="0"/>
              <w:rPr>
                <w:sz w:val="24"/>
                <w:szCs w:val="24"/>
                <w:color w:val="auto"/>
              </w:rPr>
            </w:pPr>
          </w:p>
        </w:tc>
        <w:tc>
          <w:tcPr>
            <w:tcW w:w="3300" w:type="dxa"/>
            <w:vAlign w:val="bottom"/>
            <w:gridSpan w:val="24"/>
          </w:tcPr>
          <w:p>
            <w:pPr>
              <w:jc w:val="center"/>
              <w:ind w:left="2650"/>
              <w:spacing w:after="0"/>
              <w:rPr>
                <w:sz w:val="20"/>
                <w:szCs w:val="20"/>
                <w:color w:val="auto"/>
              </w:rPr>
            </w:pPr>
            <w:r>
              <w:rPr>
                <w:rFonts w:ascii="Times New Roman" w:cs="Times New Roman" w:eastAsia="Times New Roman" w:hAnsi="Times New Roman"/>
                <w:sz w:val="18"/>
                <w:szCs w:val="18"/>
                <w:color w:val="auto"/>
                <w:w w:val="88"/>
              </w:rPr>
              <w:t>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6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We Are</w:t>
      </w:r>
    </w:p>
    <w:p>
      <w:pPr>
        <w:spacing w:after="0" w:line="216" w:lineRule="exact"/>
        <w:rPr>
          <w:sz w:val="20"/>
          <w:szCs w:val="20"/>
          <w:color w:val="auto"/>
        </w:rPr>
      </w:pPr>
    </w:p>
    <w:p>
      <w:pPr>
        <w:ind w:right="360" w:firstLine="405"/>
        <w:spacing w:after="0" w:line="250" w:lineRule="auto"/>
        <w:rPr>
          <w:sz w:val="20"/>
          <w:szCs w:val="20"/>
          <w:color w:val="auto"/>
        </w:rPr>
      </w:pPr>
      <w:r>
        <w:rPr>
          <w:rFonts w:ascii="Times New Roman" w:cs="Times New Roman" w:eastAsia="Times New Roman" w:hAnsi="Times New Roman"/>
          <w:sz w:val="18"/>
          <w:szCs w:val="18"/>
          <w:color w:val="auto"/>
        </w:rPr>
        <w:t>IAC is today comprised of category leading businesses, including Dotdash Meredith Inc., Angi Inc. and Care.com, as well as others ranging from early stage to established businesses. IAC also holds strategic equity positions in businesses across several industries, including in MGM Resorts International and Turo Inc.</w:t>
      </w:r>
    </w:p>
    <w:p>
      <w:pPr>
        <w:spacing w:after="0" w:line="204" w:lineRule="exact"/>
        <w:rPr>
          <w:sz w:val="20"/>
          <w:szCs w:val="20"/>
          <w:color w:val="auto"/>
        </w:rPr>
      </w:pPr>
    </w:p>
    <w:p>
      <w:pPr>
        <w:ind w:right="260" w:firstLine="405"/>
        <w:spacing w:after="0" w:line="266" w:lineRule="auto"/>
        <w:rPr>
          <w:sz w:val="20"/>
          <w:szCs w:val="20"/>
          <w:color w:val="auto"/>
        </w:rPr>
      </w:pPr>
      <w:r>
        <w:rPr>
          <w:rFonts w:ascii="Times New Roman" w:cs="Times New Roman" w:eastAsia="Times New Roman" w:hAnsi="Times New Roman"/>
          <w:sz w:val="18"/>
          <w:szCs w:val="18"/>
          <w:color w:val="auto"/>
        </w:rPr>
        <w:t>As used herein, “IAC,” the “Company,” “we,” “our,” “us” and other similar terms refer to IAC Inc. and its subsidiaries (unless the context requires otherwise).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History</w:t>
      </w:r>
    </w:p>
    <w:p>
      <w:pPr>
        <w:spacing w:after="0" w:line="216" w:lineRule="exact"/>
        <w:rPr>
          <w:sz w:val="20"/>
          <w:szCs w:val="20"/>
          <w:color w:val="auto"/>
        </w:rPr>
      </w:pPr>
    </w:p>
    <w:p>
      <w:pPr>
        <w:ind w:right="40" w:firstLine="405"/>
        <w:spacing w:after="0" w:line="250" w:lineRule="auto"/>
        <w:rPr>
          <w:sz w:val="20"/>
          <w:szCs w:val="20"/>
          <w:color w:val="auto"/>
        </w:rPr>
      </w:pPr>
      <w:r>
        <w:rPr>
          <w:rFonts w:ascii="Times New Roman" w:cs="Times New Roman" w:eastAsia="Times New Roman" w:hAnsi="Times New Roman"/>
          <w:sz w:val="18"/>
          <w:szCs w:val="18"/>
          <w:color w:val="auto"/>
        </w:rPr>
        <w:t>IAC began as a hybrid media/electronic retailing company over twenty-five years ago. Since then, IAC (directly and through predecessor entities) has transformed itself into a leading Internet company through the development, building, acquisition and distribution to its stockholders of a number of businesses and continues to build companies and invest opportunistically.</w:t>
      </w:r>
    </w:p>
    <w:p>
      <w:pPr>
        <w:spacing w:after="0" w:line="177" w:lineRule="exact"/>
        <w:rPr>
          <w:sz w:val="20"/>
          <w:szCs w:val="20"/>
          <w:color w:val="auto"/>
        </w:rPr>
      </w:pPr>
    </w:p>
    <w:p>
      <w:pPr>
        <w:ind w:right="40" w:firstLine="405"/>
        <w:spacing w:after="0" w:line="242" w:lineRule="auto"/>
        <w:rPr>
          <w:sz w:val="20"/>
          <w:szCs w:val="20"/>
          <w:color w:val="auto"/>
        </w:rPr>
      </w:pPr>
      <w:r>
        <w:rPr>
          <w:rFonts w:ascii="Times New Roman" w:cs="Times New Roman" w:eastAsia="Times New Roman" w:hAnsi="Times New Roman"/>
          <w:sz w:val="18"/>
          <w:szCs w:val="18"/>
          <w:color w:val="auto"/>
        </w:rPr>
        <w:t>From and after the late 1990s, we acquired a number of e-commerce companies, including Ticketmaster Group (later renamed Ticketmaster), Hotel Reservations Network (later renamed Hotels.com), Expedia.com, Match.com, LendingTree (later renamed Tree.com, Inc.), TripAdvisor, HomeAdvisor and Ask Jeeves, as well as Interval International (later renamed Interval Leisure Group, Inc.).</w:t>
      </w:r>
    </w:p>
    <w:p>
      <w:pPr>
        <w:spacing w:after="0" w:line="184" w:lineRule="exact"/>
        <w:rPr>
          <w:sz w:val="20"/>
          <w:szCs w:val="20"/>
          <w:color w:val="auto"/>
        </w:rPr>
      </w:pPr>
    </w:p>
    <w:p>
      <w:pPr>
        <w:ind w:firstLine="405"/>
        <w:spacing w:after="0" w:line="242" w:lineRule="auto"/>
        <w:rPr>
          <w:sz w:val="20"/>
          <w:szCs w:val="20"/>
          <w:color w:val="auto"/>
        </w:rPr>
      </w:pPr>
      <w:r>
        <w:rPr>
          <w:rFonts w:ascii="Times New Roman" w:cs="Times New Roman" w:eastAsia="Times New Roman" w:hAnsi="Times New Roman"/>
          <w:sz w:val="18"/>
          <w:szCs w:val="18"/>
          <w:color w:val="auto"/>
        </w:rPr>
        <w:t>In 2005, we completed the separation of our travel and travel-related businesses and investments into an independent public company, Expedia, Inc. (now known as Expedia Group, Inc.). In 2008, we separated into five independent public companies: IAC (then IAC/InterActiveCorp), HSN, Inc. (now part of Qurate Retail, Inc.), Interval Leisure Group, Inc. (now part of Marriott Vacations Worldwide Corporation), Ticketmaster (now known as Live Nation Entertainment, Inc.) and Tree.com, Inc. (now known as LendingTree, Inc.). Following this transaction, we continued to invest in and acquire e-commerce companies, including About.com (later renamed Dotdash) and a number of online dating companies in the United States and various jurisdictions abroad.</w:t>
      </w:r>
    </w:p>
    <w:p>
      <w:pPr>
        <w:spacing w:after="0" w:line="185" w:lineRule="exact"/>
        <w:rPr>
          <w:sz w:val="20"/>
          <w:szCs w:val="20"/>
          <w:color w:val="auto"/>
        </w:rPr>
      </w:pPr>
    </w:p>
    <w:p>
      <w:pPr>
        <w:ind w:right="300" w:firstLine="405"/>
        <w:spacing w:after="0" w:line="245" w:lineRule="auto"/>
        <w:rPr>
          <w:sz w:val="20"/>
          <w:szCs w:val="20"/>
          <w:color w:val="auto"/>
        </w:rPr>
      </w:pPr>
      <w:r>
        <w:rPr>
          <w:rFonts w:ascii="Times New Roman" w:cs="Times New Roman" w:eastAsia="Times New Roman" w:hAnsi="Times New Roman"/>
          <w:sz w:val="18"/>
          <w:szCs w:val="18"/>
          <w:color w:val="auto"/>
        </w:rPr>
        <w:t>In 2017, we completed the combination of the businesses in our former HomeAdvisor financial reporting segment with those of Angie’s List, Inc. under a new public company, ANGI Homeservices Inc. (now known as Angi Inc.), that we control. And in 2018, through this entity we acquired Handy Technologies, Inc., a leading platform in the United States for connecting consumers looking for household services with top-quality, pre-screened independent home professionals.</w:t>
      </w:r>
    </w:p>
    <w:p>
      <w:pPr>
        <w:spacing w:after="0" w:line="181" w:lineRule="exact"/>
        <w:rPr>
          <w:sz w:val="20"/>
          <w:szCs w:val="20"/>
          <w:color w:val="auto"/>
        </w:rPr>
      </w:pPr>
    </w:p>
    <w:p>
      <w:pPr>
        <w:jc w:val="both"/>
        <w:ind w:right="280" w:firstLine="405"/>
        <w:spacing w:after="0" w:line="242" w:lineRule="auto"/>
        <w:rPr>
          <w:sz w:val="20"/>
          <w:szCs w:val="20"/>
          <w:color w:val="auto"/>
        </w:rPr>
      </w:pPr>
      <w:r>
        <w:rPr>
          <w:rFonts w:ascii="Times New Roman" w:cs="Times New Roman" w:eastAsia="Times New Roman" w:hAnsi="Times New Roman"/>
          <w:sz w:val="18"/>
          <w:szCs w:val="18"/>
          <w:color w:val="auto"/>
        </w:rPr>
        <w:t>In February 2020, we acquired Care.com, a leading online destination for families to connect with caregivers for their children, aging parents, pets and homes, and for caregivers to connect with families seeking care services. In June 2020, we completed the separation of our online dating businesses into an independent public company, Match Group, Inc.</w:t>
      </w:r>
    </w:p>
    <w:p>
      <w:pPr>
        <w:spacing w:after="0" w:line="184" w:lineRule="exact"/>
        <w:rPr>
          <w:sz w:val="20"/>
          <w:szCs w:val="20"/>
          <w:color w:val="auto"/>
        </w:rPr>
      </w:pPr>
    </w:p>
    <w:p>
      <w:pPr>
        <w:ind w:right="20" w:firstLine="405"/>
        <w:spacing w:after="0" w:line="245" w:lineRule="auto"/>
        <w:rPr>
          <w:sz w:val="20"/>
          <w:szCs w:val="20"/>
          <w:color w:val="auto"/>
        </w:rPr>
      </w:pPr>
      <w:r>
        <w:rPr>
          <w:rFonts w:ascii="Times New Roman" w:cs="Times New Roman" w:eastAsia="Times New Roman" w:hAnsi="Times New Roman"/>
          <w:sz w:val="18"/>
          <w:szCs w:val="18"/>
          <w:color w:val="auto"/>
        </w:rPr>
        <w:t>In May 2021, we completed the spin-off of our full stake in our Vimeo business, after which Vimeo, Inc. (formerly Vimeo Holdings, Inc. (“Vimeo”)) became an independent public company. In December 2021, through Dotdash Media Inc., we completed the acquisition of Meredith Holdings Corp., owner of a portfolio of publishing brands. Following this acquisition, we refer to the combined entity, which operates the brands and businesses of our former Dotdash financial reporting segment and those of Meredith Holdings Corp., as Dotdash Meredith Inc. (“Dotdash Meredith”).</w:t>
      </w:r>
    </w:p>
    <w:p>
      <w:pPr>
        <w:spacing w:after="0" w:line="181" w:lineRule="exact"/>
        <w:rPr>
          <w:sz w:val="20"/>
          <w:szCs w:val="20"/>
          <w:color w:val="auto"/>
        </w:rPr>
      </w:pPr>
    </w:p>
    <w:p>
      <w:pPr>
        <w:jc w:val="both"/>
        <w:ind w:right="340" w:firstLine="405"/>
        <w:spacing w:after="0" w:line="250" w:lineRule="auto"/>
        <w:rPr>
          <w:sz w:val="20"/>
          <w:szCs w:val="20"/>
          <w:color w:val="auto"/>
        </w:rPr>
      </w:pPr>
      <w:r>
        <w:rPr>
          <w:rFonts w:ascii="Times New Roman" w:cs="Times New Roman" w:eastAsia="Times New Roman" w:hAnsi="Times New Roman"/>
          <w:sz w:val="18"/>
          <w:szCs w:val="18"/>
          <w:color w:val="auto"/>
        </w:rPr>
        <w:t>In November 2022, we completed the sale of Bluecrew, a technology driven staffing platform exclusively for flexible W-2 work. On February 15, 2024, we completed the sale of assets of Mosaic Group, a leading developer and provider of global subscription mobile applications, for approximately $160 million.</w:t>
      </w:r>
    </w:p>
    <w:p>
      <w:pPr>
        <w:spacing w:after="0" w:line="177" w:lineRule="exact"/>
        <w:rPr>
          <w:sz w:val="20"/>
          <w:szCs w:val="20"/>
          <w:color w:val="auto"/>
        </w:rPr>
      </w:pPr>
    </w:p>
    <w:p>
      <w:pPr>
        <w:ind w:right="320" w:firstLine="405"/>
        <w:spacing w:after="0" w:line="266" w:lineRule="auto"/>
        <w:rPr>
          <w:sz w:val="20"/>
          <w:szCs w:val="20"/>
          <w:color w:val="auto"/>
        </w:rPr>
      </w:pPr>
      <w:r>
        <w:rPr>
          <w:rFonts w:ascii="Times New Roman" w:cs="Times New Roman" w:eastAsia="Times New Roman" w:hAnsi="Times New Roman"/>
          <w:sz w:val="18"/>
          <w:szCs w:val="18"/>
          <w:color w:val="auto"/>
        </w:rPr>
        <w:t>Lastly, we hold meaningful minority stakes in MGM Resorts International, a leader in gaming, hospitality and leisure, and Turo Inc., a car sharing marketplace, as well as a controlling interest in Vivian Health, a platform to efficiently connect healthcare professionals with job opportunities.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 w:name="page5"/>
    <w:bookmarkEnd w:id="4"/>
    <w:p>
      <w:pPr>
        <w:ind w:firstLine="405"/>
        <w:spacing w:after="0" w:line="241" w:lineRule="auto"/>
        <w:rPr>
          <w:sz w:val="20"/>
          <w:szCs w:val="20"/>
          <w:color w:val="auto"/>
        </w:rPr>
      </w:pPr>
      <w:r>
        <w:rPr>
          <w:rFonts w:ascii="Times New Roman" w:cs="Times New Roman" w:eastAsia="Times New Roman" w:hAnsi="Times New Roman"/>
          <w:sz w:val="18"/>
          <w:szCs w:val="18"/>
          <w:color w:val="auto"/>
        </w:rPr>
        <w:t>On January 13, 2025, IAC announced that its board of directors approved a plan to spin off its full stake in Angi Inc. (“Angi”) to IAC stockholders. The Company intends to effect the spin-off through a dividend to the holders of its common stock and Class B common stock of all of the common stock of Angi owned by the Company (the “Distribution”). Prior to the effective time of the Distribution, the Company intends to voluntarily convert all of the shares of Class B common stock of Angi that it owns to shares of Class A common stock of Angi. The completion of the Distribution remains subject to customary conditions and to the final approval of IAC's board of directors and may not be completed, on the anticipated terms or at all. IAC expects to complete the Distribution as soon as March 31, 2025.</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 w:name="page6"/>
    <w:bookmarkEnd w:id="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EQUITY OWNERSHIP AND VOTE</w:t>
      </w:r>
    </w:p>
    <w:p>
      <w:pPr>
        <w:spacing w:after="0" w:line="216" w:lineRule="exact"/>
        <w:rPr>
          <w:sz w:val="20"/>
          <w:szCs w:val="20"/>
          <w:color w:val="auto"/>
        </w:rPr>
      </w:pPr>
    </w:p>
    <w:p>
      <w:pPr>
        <w:ind w:firstLine="405"/>
        <w:spacing w:after="0" w:line="237" w:lineRule="auto"/>
        <w:rPr>
          <w:sz w:val="20"/>
          <w:szCs w:val="20"/>
          <w:color w:val="auto"/>
        </w:rPr>
      </w:pPr>
      <w:r>
        <w:rPr>
          <w:rFonts w:ascii="Times New Roman" w:cs="Times New Roman" w:eastAsia="Times New Roman" w:hAnsi="Times New Roman"/>
          <w:sz w:val="18"/>
          <w:szCs w:val="18"/>
          <w:color w:val="auto"/>
        </w:rPr>
        <w:t>IAC has outstanding shares of common stock, with one vote per share, and shares of Class B common stock, with ten votes per share and which are convertible into shares of common stock on a one-for-one basis. As of the date of this report, Barry Diller, IAC’s Chairman and Senior Executive, his spouse (Diane von Furstenberg) and his stepson (Alexander von Furstenberg), collectively hold (directly and through certain trusts) 5,789,499 shares of Class B common stock, representing 100% of the outstanding shares of Class B common stock. Together with shares of common stock held as of the date of this report by Mr. Diller (172,708), Mr. von Furstenberg (81,348), a trust for the benefit of certain members of Mr. Diller’s family (136,711) and a family foundation (1,711), these holdings collectively represent approximately 43% of the total outstanding voting power of IAC (based on the number of shares of IAC common and Class B common stock outstanding on February 7, 2025). As of the date of this report, Mr. Diller also holds 1,000,000 vested options to purchase shares of IAC common stock.</w:t>
      </w:r>
    </w:p>
    <w:p>
      <w:pPr>
        <w:spacing w:after="0" w:line="187" w:lineRule="exact"/>
        <w:rPr>
          <w:sz w:val="20"/>
          <w:szCs w:val="20"/>
          <w:color w:val="auto"/>
        </w:rPr>
      </w:pPr>
    </w:p>
    <w:p>
      <w:pPr>
        <w:ind w:right="220" w:firstLine="324"/>
        <w:spacing w:after="0" w:line="241" w:lineRule="auto"/>
        <w:rPr>
          <w:sz w:val="20"/>
          <w:szCs w:val="20"/>
          <w:color w:val="auto"/>
        </w:rPr>
      </w:pPr>
      <w:r>
        <w:rPr>
          <w:rFonts w:ascii="Times New Roman" w:cs="Times New Roman" w:eastAsia="Times New Roman" w:hAnsi="Times New Roman"/>
          <w:sz w:val="18"/>
          <w:szCs w:val="18"/>
          <w:color w:val="auto"/>
        </w:rPr>
        <w:t>Pursuant to an amended and restated governance agreement between IAC and Mr. Diller, for so long as Mr. Diller serves as IAC’s Chairman and Senior Executive and he beneficially owns (within the meaning of Rule 13d-3 of the Securities Exchange Act of 1934, as amended) at least 5,000,000 shares of Class B common stock and/or common stock in which he has a pecuniary interest (including IAC securities beneficially owned by him directly and indirectly through trusts for the benefit of certain members of his family), he generally has the right to consent to certain limited matters specified in the governance agreement in the event that IAC’s ratio of total debt to EBITDA (as defined in the governance agreement) equals or exceeds four to one over a continuous twelve-month period.</w:t>
      </w:r>
    </w:p>
    <w:p>
      <w:pPr>
        <w:spacing w:after="0" w:line="184" w:lineRule="exact"/>
        <w:rPr>
          <w:sz w:val="20"/>
          <w:szCs w:val="20"/>
          <w:color w:val="auto"/>
        </w:rPr>
      </w:pPr>
    </w:p>
    <w:p>
      <w:pPr>
        <w:ind w:firstLine="324"/>
        <w:spacing w:after="0" w:line="245" w:lineRule="auto"/>
        <w:rPr>
          <w:sz w:val="20"/>
          <w:szCs w:val="20"/>
          <w:color w:val="auto"/>
        </w:rPr>
      </w:pPr>
      <w:r>
        <w:rPr>
          <w:rFonts w:ascii="Times New Roman" w:cs="Times New Roman" w:eastAsia="Times New Roman" w:hAnsi="Times New Roman"/>
          <w:sz w:val="18"/>
          <w:szCs w:val="18"/>
          <w:color w:val="auto"/>
        </w:rPr>
        <w:t>As a result of the IAC securities held by Mr. Diller and certain members of his family, Mr. Diller and these family members are, collectively, as of the date of this report, in a position to influence (subject to IAC’s organizational documents and Delaware law) the composition of IAC's board of directors and the outcome of corporate actions requiring stockholder approval (such as mergers, business combinations and dispositions of assets, among other corporate transactions).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IAC BUSINESSES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Dotdash Meredith</w:t>
      </w: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16" w:lineRule="exact"/>
        <w:rPr>
          <w:sz w:val="20"/>
          <w:szCs w:val="20"/>
          <w:color w:val="auto"/>
        </w:rPr>
      </w:pPr>
    </w:p>
    <w:p>
      <w:pPr>
        <w:jc w:val="both"/>
        <w:ind w:right="540" w:firstLine="324"/>
        <w:spacing w:after="0" w:line="250" w:lineRule="auto"/>
        <w:rPr>
          <w:sz w:val="20"/>
          <w:szCs w:val="20"/>
          <w:color w:val="auto"/>
        </w:rPr>
      </w:pPr>
      <w:r>
        <w:rPr>
          <w:rFonts w:ascii="Times New Roman" w:cs="Times New Roman" w:eastAsia="Times New Roman" w:hAnsi="Times New Roman"/>
          <w:sz w:val="18"/>
          <w:szCs w:val="18"/>
          <w:color w:val="auto"/>
        </w:rPr>
        <w:t>Our Dotdash Meredith segment consists of its Digital and Print businesses. Through these businesses, we are one of the largest digital and print publishers in America, with a portfolio of publishing brands that collectively provide inspiring, informative, entertaining and empowering content to millions of consumers each month.</w:t>
      </w:r>
    </w:p>
    <w:p>
      <w:pPr>
        <w:spacing w:after="0" w:line="177" w:lineRule="exact"/>
        <w:rPr>
          <w:sz w:val="20"/>
          <w:szCs w:val="20"/>
          <w:color w:val="auto"/>
        </w:rPr>
      </w:pPr>
    </w:p>
    <w:p>
      <w:pPr>
        <w:ind w:right="400" w:firstLine="324"/>
        <w:spacing w:after="0" w:line="266" w:lineRule="auto"/>
        <w:rPr>
          <w:sz w:val="20"/>
          <w:szCs w:val="20"/>
          <w:color w:val="auto"/>
        </w:rPr>
      </w:pPr>
      <w:r>
        <w:rPr>
          <w:rFonts w:ascii="Times New Roman" w:cs="Times New Roman" w:eastAsia="Times New Roman" w:hAnsi="Times New Roman"/>
          <w:sz w:val="18"/>
          <w:szCs w:val="18"/>
          <w:color w:val="auto"/>
        </w:rPr>
        <w:t>These Digital and Print businesses engage consumers across multiple media platforms and formats, as well as through licensing arrangements and magazines. Dotdash Meredith's portfolio of publishing brands (by vertical, brand and format) is as follows:</w:t>
      </w:r>
    </w:p>
    <w:p>
      <w:pPr>
        <w:spacing w:after="0" w:line="171" w:lineRule="exact"/>
        <w:rPr>
          <w:sz w:val="20"/>
          <w:szCs w:val="20"/>
          <w:color w:val="auto"/>
        </w:rPr>
      </w:pPr>
    </w:p>
    <w:p>
      <w:pPr>
        <w:ind w:left="660" w:hanging="328"/>
        <w:spacing w:after="0"/>
        <w:tabs>
          <w:tab w:leader="none" w:pos="660" w:val="left"/>
        </w:tabs>
        <w:numPr>
          <w:ilvl w:val="0"/>
          <w:numId w:val="1"/>
        </w:numPr>
        <w:rPr>
          <w:rFonts w:ascii="Arial" w:cs="Arial" w:eastAsia="Arial" w:hAnsi="Arial"/>
          <w:sz w:val="22"/>
          <w:szCs w:val="22"/>
          <w:color w:val="auto"/>
        </w:rPr>
      </w:pPr>
      <w:r>
        <w:rPr>
          <w:rFonts w:ascii="Times New Roman" w:cs="Times New Roman" w:eastAsia="Times New Roman" w:hAnsi="Times New Roman"/>
          <w:sz w:val="18"/>
          <w:szCs w:val="18"/>
          <w:i w:val="1"/>
          <w:iCs w:val="1"/>
          <w:color w:val="auto"/>
        </w:rPr>
        <w:t>Entertainment</w:t>
      </w:r>
      <w:r>
        <w:rPr>
          <w:rFonts w:ascii="Times New Roman" w:cs="Times New Roman" w:eastAsia="Times New Roman" w:hAnsi="Times New Roman"/>
          <w:sz w:val="18"/>
          <w:szCs w:val="18"/>
          <w:color w:val="auto"/>
        </w:rPr>
        <w:t>: PEOPLE (digital and print), Entertainment Weekly (digital) and People en Español (digital);</w:t>
      </w:r>
    </w:p>
    <w:p>
      <w:pPr>
        <w:spacing w:after="0" w:line="182" w:lineRule="exact"/>
        <w:rPr>
          <w:rFonts w:ascii="Arial" w:cs="Arial" w:eastAsia="Arial" w:hAnsi="Arial"/>
          <w:sz w:val="22"/>
          <w:szCs w:val="22"/>
          <w:color w:val="auto"/>
        </w:rPr>
      </w:pPr>
    </w:p>
    <w:p>
      <w:pPr>
        <w:ind w:left="660" w:hanging="328"/>
        <w:spacing w:after="0"/>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Lifestyle</w:t>
      </w:r>
      <w:r>
        <w:rPr>
          <w:rFonts w:ascii="Times New Roman" w:cs="Times New Roman" w:eastAsia="Times New Roman" w:hAnsi="Times New Roman"/>
          <w:sz w:val="18"/>
          <w:szCs w:val="18"/>
          <w:color w:val="auto"/>
        </w:rPr>
        <w:t>: allrecipes (digital and print), Better Homes &amp; Gardens (digital and print), Southern Living (digital and print), TRAVEL + LEISURE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(digital and print), FOOD &amp; WINE (digital and print), REAL SIMPLE (digital and print), InStyle (digital), EatingWell (digital and print), The Spruce (digital), Simply Recipes (digital), The Spruce Eats (digital), Martha Stewart (digital), Serious Eats (digital), Lifewire (digital), MAGNOLIA JOURNAL (print), BYRDIE (digital), Liquor.com (digital), Shape (digital), The Spruce Pets (digital), ThoughtCo (digital), Midwest Living (digital and print), Brides (digital), Daily Paws (digital), The Spruce Crafts (digital), TripSavvy (digital), Treehugger (digital), Life.com (digital), MyDomaine (digital), CookingLight (print), COASTAL LIVING (print), Hello Giggles (digital), Successful Farming (digital and print), American Patchwork &amp; Quilting (digital and print), WOOD (digital and print) and TRADITIONAL HOME (print); and</w:t>
      </w:r>
    </w:p>
    <w:p>
      <w:pPr>
        <w:spacing w:after="0" w:line="21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Health &amp; Finance </w:t>
      </w:r>
      <w:r>
        <w:rPr>
          <w:rFonts w:ascii="Times New Roman" w:cs="Times New Roman" w:eastAsia="Times New Roman" w:hAnsi="Times New Roman"/>
          <w:sz w:val="18"/>
          <w:szCs w:val="18"/>
          <w:color w:val="auto"/>
        </w:rPr>
        <w:t>(all digital): Verywell Health, Investopedia, Health, Parents, Verywell Mind, Verywell Fit and The Balance.</w:t>
      </w:r>
    </w:p>
    <w:p>
      <w:pPr>
        <w:spacing w:after="0" w:line="2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Digital</w:t>
      </w:r>
    </w:p>
    <w:p>
      <w:pPr>
        <w:spacing w:after="0" w:line="216" w:lineRule="exact"/>
        <w:rPr>
          <w:sz w:val="20"/>
          <w:szCs w:val="20"/>
          <w:color w:val="auto"/>
        </w:rPr>
      </w:pPr>
    </w:p>
    <w:p>
      <w:pPr>
        <w:ind w:right="100" w:firstLine="360"/>
        <w:spacing w:after="0" w:line="239" w:lineRule="auto"/>
        <w:rPr>
          <w:sz w:val="20"/>
          <w:szCs w:val="20"/>
          <w:color w:val="auto"/>
        </w:rPr>
      </w:pPr>
      <w:r>
        <w:rPr>
          <w:rFonts w:ascii="Times New Roman" w:cs="Times New Roman" w:eastAsia="Times New Roman" w:hAnsi="Times New Roman"/>
          <w:sz w:val="18"/>
          <w:szCs w:val="18"/>
          <w:color w:val="auto"/>
        </w:rPr>
        <w:t>The Digital business delivers digital content through a portfolio of brands that have leadership in those subject areas that Dotdash Meredith believes matter most to consumer audiences (including entertainment, food, home, beauty, travel, health, family, luxury and fashion). The Digital business provides original and engaging digital content in a variety of formats, including articles, illustrations, videos and images, working with hundreds of experts in their respective fields (including doctors, chefs and certified financial advisors, among others) to create and produce thousands of pieces of original content that we publish across our portfolio of brands.</w:t>
      </w:r>
    </w:p>
    <w:p>
      <w:pPr>
        <w:spacing w:after="0" w:line="184" w:lineRule="exact"/>
        <w:rPr>
          <w:sz w:val="20"/>
          <w:szCs w:val="20"/>
          <w:color w:val="auto"/>
        </w:rPr>
      </w:pPr>
    </w:p>
    <w:p>
      <w:pPr>
        <w:ind w:right="80" w:firstLine="360"/>
        <w:spacing w:after="0" w:line="242" w:lineRule="auto"/>
        <w:rPr>
          <w:sz w:val="20"/>
          <w:szCs w:val="20"/>
          <w:color w:val="auto"/>
        </w:rPr>
      </w:pPr>
      <w:r>
        <w:rPr>
          <w:rFonts w:ascii="Times New Roman" w:cs="Times New Roman" w:eastAsia="Times New Roman" w:hAnsi="Times New Roman"/>
          <w:sz w:val="18"/>
          <w:szCs w:val="18"/>
          <w:color w:val="auto"/>
        </w:rPr>
        <w:t>Through the Digital business, we offer a variety of digital advertising products and services, from traditional digital display advertisements and performance marketing arrangements to new advertising products and services developed in response to evolving digital advertising trends, such as D/Cipher. Our D/Cipher product allows advertisers to target users based on intent. For example, when users visit one of Dotdash Meredith’s digital brands, D/Cipher predicts what advertising marketing segments are relevant to the reader, based on their intent, in real time. D/Cipher reaches users on all devices, including Apple (iOS) audiences and can be accessed through premium direct and programmatic ad channels.</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Print</w:t>
      </w:r>
    </w:p>
    <w:p>
      <w:pPr>
        <w:spacing w:after="0" w:line="216" w:lineRule="exact"/>
        <w:rPr>
          <w:sz w:val="20"/>
          <w:szCs w:val="20"/>
          <w:color w:val="auto"/>
        </w:rPr>
      </w:pPr>
    </w:p>
    <w:p>
      <w:pPr>
        <w:ind w:right="120" w:firstLine="363"/>
        <w:spacing w:after="0" w:line="266" w:lineRule="auto"/>
        <w:rPr>
          <w:sz w:val="20"/>
          <w:szCs w:val="20"/>
          <w:color w:val="auto"/>
        </w:rPr>
      </w:pPr>
      <w:r>
        <w:rPr>
          <w:rFonts w:ascii="Times New Roman" w:cs="Times New Roman" w:eastAsia="Times New Roman" w:hAnsi="Times New Roman"/>
          <w:sz w:val="18"/>
          <w:szCs w:val="18"/>
          <w:color w:val="auto"/>
        </w:rPr>
        <w:t>Through the Print business, we are a leading magazine publisher in the United States. The Print business published 18 magazines as of December 31, 2024, as well as approximately 370 special interest publications during the year ended December 31, 2024.</w:t>
      </w:r>
    </w:p>
    <w:p>
      <w:pPr>
        <w:spacing w:after="0" w:line="162" w:lineRule="exact"/>
        <w:rPr>
          <w:sz w:val="20"/>
          <w:szCs w:val="20"/>
          <w:color w:val="auto"/>
        </w:rPr>
      </w:pPr>
    </w:p>
    <w:p>
      <w:pPr>
        <w:ind w:right="80" w:firstLine="363"/>
        <w:spacing w:after="0" w:line="238" w:lineRule="auto"/>
        <w:rPr>
          <w:sz w:val="20"/>
          <w:szCs w:val="20"/>
          <w:color w:val="auto"/>
        </w:rPr>
      </w:pPr>
      <w:r>
        <w:rPr>
          <w:rFonts w:ascii="Times New Roman" w:cs="Times New Roman" w:eastAsia="Times New Roman" w:hAnsi="Times New Roman"/>
          <w:sz w:val="18"/>
          <w:szCs w:val="18"/>
          <w:color w:val="auto"/>
        </w:rPr>
        <w:t>Print editorial teams create premium content covering subjects that Dotdash Meredith believes matter most to consumer audiences in a format that it believes consumers enjoy for its convenience and thoughtful editorial curation. The majority of the publishing brands and content within the Print business (for example, PEOPLE, Better Homes &amp; Gardens and Southern Living) is focused on interests related to women and lifestyle. In addition, special interest publications provide in-depth information, education and entertainment on single topics and trends that Dotdash Meredith believes are timely and relevant to consumer audiences (including food, home, entertainment and health and wellness). Most special interest publications have a high ratio of editorial to advertising content and are premium priced (for consumers) relative to subscription titles.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7" w:name="page8"/>
    <w:bookmarkEnd w:id="7"/>
    <w:p>
      <w:pPr>
        <w:ind w:right="40" w:firstLine="363"/>
        <w:spacing w:after="0" w:line="245" w:lineRule="auto"/>
        <w:rPr>
          <w:sz w:val="20"/>
          <w:szCs w:val="20"/>
          <w:color w:val="auto"/>
        </w:rPr>
      </w:pPr>
      <w:r>
        <w:rPr>
          <w:rFonts w:ascii="Times New Roman" w:cs="Times New Roman" w:eastAsia="Times New Roman" w:hAnsi="Times New Roman"/>
          <w:sz w:val="18"/>
          <w:szCs w:val="18"/>
          <w:color w:val="auto"/>
        </w:rPr>
        <w:t>The Print business distributes print magazines on a subscription basis (both direct and via agency partners) and through newsstands, with the majority of distribution occurring on a subscription basis. The Print business had approximately 16.1 million active subscriptions as of December 31, 2024. The majority of Dotdash Meredith subscription publications are issued between four and twelve times annually, with PEOPLE issued weekly. Single copies of subscription and special interest publications are sold through newsstands.</w:t>
      </w:r>
    </w:p>
    <w:p>
      <w:pPr>
        <w:spacing w:after="0" w:line="17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16" w:lineRule="exact"/>
        <w:rPr>
          <w:sz w:val="20"/>
          <w:szCs w:val="20"/>
          <w:color w:val="auto"/>
        </w:rPr>
      </w:pPr>
    </w:p>
    <w:p>
      <w:pPr>
        <w:jc w:val="both"/>
        <w:ind w:right="480" w:firstLine="405"/>
        <w:spacing w:after="0" w:line="242" w:lineRule="auto"/>
        <w:rPr>
          <w:sz w:val="20"/>
          <w:szCs w:val="20"/>
          <w:color w:val="auto"/>
        </w:rPr>
      </w:pPr>
      <w:r>
        <w:rPr>
          <w:rFonts w:ascii="Times New Roman" w:cs="Times New Roman" w:eastAsia="Times New Roman" w:hAnsi="Times New Roman"/>
          <w:sz w:val="18"/>
          <w:szCs w:val="18"/>
          <w:color w:val="auto"/>
        </w:rPr>
        <w:t>Dotdash Meredith revenue consists of digital and print revenue. Digital revenue consists principally of advertising, performance marketing and licensing and other revenue. Print revenue consists principally of subscription, advertising, project and other, newsstand and performance marketing revenue.</w:t>
      </w:r>
    </w:p>
    <w:p>
      <w:pPr>
        <w:spacing w:after="0" w:line="182" w:lineRule="exact"/>
        <w:rPr>
          <w:sz w:val="20"/>
          <w:szCs w:val="20"/>
          <w:color w:val="auto"/>
        </w:rPr>
      </w:pPr>
    </w:p>
    <w:p>
      <w:pPr>
        <w:ind w:right="240" w:firstLine="405"/>
        <w:spacing w:after="0" w:line="239" w:lineRule="auto"/>
        <w:rPr>
          <w:sz w:val="20"/>
          <w:szCs w:val="20"/>
          <w:color w:val="auto"/>
        </w:rPr>
      </w:pPr>
      <w:r>
        <w:rPr>
          <w:rFonts w:ascii="Times New Roman" w:cs="Times New Roman" w:eastAsia="Times New Roman" w:hAnsi="Times New Roman"/>
          <w:sz w:val="18"/>
          <w:szCs w:val="18"/>
          <w:i w:val="1"/>
          <w:iCs w:val="1"/>
          <w:color w:val="auto"/>
        </w:rPr>
        <w:t xml:space="preserve">Digital. </w:t>
      </w:r>
      <w:r>
        <w:rPr>
          <w:rFonts w:ascii="Times New Roman" w:cs="Times New Roman" w:eastAsia="Times New Roman" w:hAnsi="Times New Roman"/>
          <w:sz w:val="18"/>
          <w:szCs w:val="18"/>
          <w:color w:val="auto"/>
        </w:rPr>
        <w:t>Advertising revenue is generated primarily through digital advertisements sold by Dotdash Meredith's sales team directly to advertisers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advertising agencies and programmatic advertising networks. Performance marketing revenue includes commissions generated through affiliate commerce, affinity marketing channels and performance marketing. Affiliate commerce commission revenue is generated when Dotdash Meredith's branded content refers consumers to commerce partner websites resulting in a purchase or transaction. Affinity marketing programs are arrangements where Dotdash Meredith acts as an agent for both Dotdash Meredith and third-party publishers to market and place magazine subscriptions online. Licensing and other revenue include symbolic licenses, which include direct-to-retail product partnerships based on Dotdash Meredith's brands, and functional licenses, which consist of content use and distribution relationships, including utilization in large-language models and other artificial intelligence-related activities.</w:t>
      </w:r>
    </w:p>
    <w:p>
      <w:pPr>
        <w:spacing w:after="0" w:line="187" w:lineRule="exact"/>
        <w:rPr>
          <w:sz w:val="20"/>
          <w:szCs w:val="20"/>
          <w:color w:val="auto"/>
        </w:rPr>
      </w:pPr>
    </w:p>
    <w:p>
      <w:pPr>
        <w:ind w:right="100" w:firstLine="405"/>
        <w:spacing w:after="0" w:line="237" w:lineRule="auto"/>
        <w:rPr>
          <w:sz w:val="20"/>
          <w:szCs w:val="20"/>
          <w:color w:val="auto"/>
        </w:rPr>
      </w:pPr>
      <w:r>
        <w:rPr>
          <w:rFonts w:ascii="Times New Roman" w:cs="Times New Roman" w:eastAsia="Times New Roman" w:hAnsi="Times New Roman"/>
          <w:sz w:val="18"/>
          <w:szCs w:val="18"/>
          <w:i w:val="1"/>
          <w:iCs w:val="1"/>
          <w:color w:val="auto"/>
        </w:rPr>
        <w:t xml:space="preserve">Print. </w:t>
      </w:r>
      <w:r>
        <w:rPr>
          <w:rFonts w:ascii="Times New Roman" w:cs="Times New Roman" w:eastAsia="Times New Roman" w:hAnsi="Times New Roman"/>
          <w:sz w:val="18"/>
          <w:szCs w:val="18"/>
          <w:color w:val="auto"/>
        </w:rPr>
        <w:t>Subscription revenue relates to the sale of Dotdash Meredith magazine subscriptions, including digital editions. Dotdash Meredith sells both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print and digital subscriptions through online retailers, direct mail advertising, other online advertising and third-party agents. Print advertising revenue relates to the sale of advertising in magazines directly to advertisers or through advertising agencies. Project and other revenue relates to other revenue streams that are primarily project based and may relate to any one or combination of the following activities: audience targeting advertising, custom publishing, content strategy and development, email marketing, social media, database marketing and search engine optimization. Newsstand revenue is related to single copy print magazines or bundles of single copy magazines sold to wholesalers for resale on newsstands. Performance marketing principally consists of affinity marketing revenue, in connection with which Dotdash Meredith partners with traditional customer facing channels (such as brick and mortar retailers and call centers) to place print magazine subscriptions for third-party publishers.</w:t>
      </w:r>
    </w:p>
    <w:p>
      <w:pPr>
        <w:spacing w:after="0" w:line="18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Marketing</w:t>
      </w:r>
    </w:p>
    <w:p>
      <w:pPr>
        <w:spacing w:after="0" w:line="216" w:lineRule="exact"/>
        <w:rPr>
          <w:sz w:val="20"/>
          <w:szCs w:val="20"/>
          <w:color w:val="auto"/>
        </w:rPr>
      </w:pPr>
    </w:p>
    <w:p>
      <w:pPr>
        <w:ind w:firstLine="360"/>
        <w:spacing w:after="0" w:line="245" w:lineRule="auto"/>
        <w:rPr>
          <w:sz w:val="20"/>
          <w:szCs w:val="20"/>
          <w:color w:val="auto"/>
        </w:rPr>
      </w:pPr>
      <w:r>
        <w:rPr>
          <w:rFonts w:ascii="Times New Roman" w:cs="Times New Roman" w:eastAsia="Times New Roman" w:hAnsi="Times New Roman"/>
          <w:sz w:val="18"/>
          <w:szCs w:val="18"/>
          <w:color w:val="auto"/>
        </w:rPr>
        <w:t>The Digital business markets its digital content through a full suite of digital distribution channels, as well as via direct navigation to its various branded websites. The Print business markets its content through a variety of channels, including direct mail, search engines, social media, email, websites, affiliate links and third-party partnerships. Dotdash Meredith prefers a subscription-focused distribution approach for print publications because it believes that this approach fosters long-term, direct relationships with consumers and creates greater monetization opportunities.</w:t>
      </w:r>
    </w:p>
    <w:p>
      <w:pPr>
        <w:spacing w:after="0" w:line="17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216" w:lineRule="exact"/>
        <w:rPr>
          <w:sz w:val="20"/>
          <w:szCs w:val="20"/>
          <w:color w:val="auto"/>
        </w:rPr>
      </w:pPr>
    </w:p>
    <w:p>
      <w:pPr>
        <w:ind w:right="20" w:firstLine="363"/>
        <w:spacing w:after="0" w:line="237" w:lineRule="auto"/>
        <w:rPr>
          <w:sz w:val="20"/>
          <w:szCs w:val="20"/>
          <w:color w:val="auto"/>
        </w:rPr>
      </w:pPr>
      <w:r>
        <w:rPr>
          <w:rFonts w:ascii="Times New Roman" w:cs="Times New Roman" w:eastAsia="Times New Roman" w:hAnsi="Times New Roman"/>
          <w:sz w:val="18"/>
          <w:szCs w:val="18"/>
          <w:color w:val="auto"/>
        </w:rPr>
        <w:t>The Digital business is characterized by ever evolving technology, frequent product evolution and changing preferences of consumers, advertisers and marketers. Digital media is intensely competitive, particularly for consumer attention (both attracting and retaining), driving traffic to various Dotdash Meredith Digital brands through search engines (and the display of information from such brands and links to websites offering Dotdash Meredith content within search engine results) and spending from advertisers and marketers. In the case of the Digital business, competitors primarily include diversified multi-platform media companies, other online publishers and destination websites with brands in similar vertical content categories, news aggregators, search engines, social media platforms and generative artificial intelligence (“GAI”) services. Some of these competitors may have longer operating histories, greater brand recognition, larger user bases and/or greater financial, technical or marketing resources than Dotdash Meredith does. As a result, these competitors may have the ability to devote comparatively greater resources to the development and promotion of their digital content, which could result in greater market acceptance of their digital content relative to Dotdash Meredith digital content.</w:t>
      </w:r>
    </w:p>
    <w:p>
      <w:pPr>
        <w:spacing w:after="0" w:line="185" w:lineRule="exact"/>
        <w:rPr>
          <w:sz w:val="20"/>
          <w:szCs w:val="20"/>
          <w:color w:val="auto"/>
        </w:rPr>
      </w:pPr>
    </w:p>
    <w:p>
      <w:pPr>
        <w:ind w:right="140" w:firstLine="360"/>
        <w:spacing w:after="0" w:line="245" w:lineRule="auto"/>
        <w:rPr>
          <w:sz w:val="20"/>
          <w:szCs w:val="20"/>
          <w:color w:val="auto"/>
        </w:rPr>
      </w:pPr>
      <w:r>
        <w:rPr>
          <w:rFonts w:ascii="Times New Roman" w:cs="Times New Roman" w:eastAsia="Times New Roman" w:hAnsi="Times New Roman"/>
          <w:sz w:val="18"/>
          <w:szCs w:val="18"/>
          <w:color w:val="auto"/>
        </w:rPr>
        <w:t>Print publishing is a highly competitive business. Dotdash Meredith Print magazines and related publishing products and services compete primarily with other print magazine publishers, as well as other mass media (online and offline) and many other leisure-time activities. While competition is strong for established print magazine brands, gaining readership and advertising support for new print magazines is especially competitive and a launch would require significant investment over a multi-year endeavor.</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8" w:name="page9"/>
    <w:bookmarkEnd w:id="8"/>
    <w:p>
      <w:pPr>
        <w:ind w:left="28"/>
        <w:spacing w:after="0"/>
        <w:rPr>
          <w:sz w:val="20"/>
          <w:szCs w:val="20"/>
          <w:color w:val="auto"/>
        </w:rPr>
      </w:pPr>
      <w:r>
        <w:rPr>
          <w:rFonts w:ascii="Times New Roman" w:cs="Times New Roman" w:eastAsia="Times New Roman" w:hAnsi="Times New Roman"/>
          <w:sz w:val="18"/>
          <w:szCs w:val="18"/>
          <w:color w:val="auto"/>
        </w:rPr>
        <w:t>We believe that the ability of the Digital and Print businesses to compete successfully will depend primarily upon the following factors:</w:t>
      </w:r>
    </w:p>
    <w:p>
      <w:pPr>
        <w:spacing w:after="0" w:line="212" w:lineRule="exact"/>
        <w:rPr>
          <w:sz w:val="20"/>
          <w:szCs w:val="20"/>
          <w:color w:val="auto"/>
        </w:rPr>
      </w:pPr>
    </w:p>
    <w:p>
      <w:pPr>
        <w:ind w:left="328" w:hanging="328"/>
        <w:spacing w:after="0"/>
        <w:tabs>
          <w:tab w:leader="none" w:pos="328" w:val="left"/>
        </w:tabs>
        <w:numPr>
          <w:ilvl w:val="0"/>
          <w:numId w:val="2"/>
        </w:numPr>
        <w:rPr>
          <w:rFonts w:ascii="Arial" w:cs="Arial" w:eastAsia="Arial" w:hAnsi="Arial"/>
          <w:sz w:val="18"/>
          <w:szCs w:val="18"/>
          <w:color w:val="auto"/>
        </w:rPr>
      </w:pPr>
      <w:r>
        <w:rPr>
          <w:rFonts w:ascii="Times New Roman" w:cs="Times New Roman" w:eastAsia="Times New Roman" w:hAnsi="Times New Roman"/>
          <w:sz w:val="18"/>
          <w:szCs w:val="18"/>
          <w:color w:val="auto"/>
        </w:rPr>
        <w:t>the ability to maintain and grow their large reach to American consumers across existing, as well as new and emerging, platforms;</w:t>
      </w:r>
    </w:p>
    <w:p>
      <w:pPr>
        <w:spacing w:after="0" w:line="210" w:lineRule="exact"/>
        <w:rPr>
          <w:rFonts w:ascii="Arial" w:cs="Arial" w:eastAsia="Arial" w:hAnsi="Arial"/>
          <w:sz w:val="18"/>
          <w:szCs w:val="18"/>
          <w:color w:val="auto"/>
        </w:rPr>
      </w:pPr>
    </w:p>
    <w:p>
      <w:pPr>
        <w:ind w:left="328" w:hanging="328"/>
        <w:spacing w:after="0"/>
        <w:tabs>
          <w:tab w:leader="none" w:pos="328" w:val="left"/>
        </w:tabs>
        <w:numPr>
          <w:ilvl w:val="0"/>
          <w:numId w:val="2"/>
        </w:numPr>
        <w:rPr>
          <w:rFonts w:ascii="Arial" w:cs="Arial" w:eastAsia="Arial" w:hAnsi="Arial"/>
          <w:sz w:val="18"/>
          <w:szCs w:val="18"/>
          <w:color w:val="auto"/>
        </w:rPr>
      </w:pPr>
      <w:r>
        <w:rPr>
          <w:rFonts w:ascii="Times New Roman" w:cs="Times New Roman" w:eastAsia="Times New Roman" w:hAnsi="Times New Roman"/>
          <w:sz w:val="18"/>
          <w:szCs w:val="18"/>
          <w:color w:val="auto"/>
        </w:rPr>
        <w:t>the quality of the content and editorial features in digital content, print magazines and special interest publications;</w:t>
      </w:r>
    </w:p>
    <w:p>
      <w:pPr>
        <w:spacing w:after="0" w:line="210" w:lineRule="exact"/>
        <w:rPr>
          <w:rFonts w:ascii="Arial" w:cs="Arial" w:eastAsia="Arial" w:hAnsi="Arial"/>
          <w:sz w:val="18"/>
          <w:szCs w:val="18"/>
          <w:color w:val="auto"/>
        </w:rPr>
      </w:pPr>
    </w:p>
    <w:p>
      <w:pPr>
        <w:ind w:left="328" w:right="80" w:hanging="328"/>
        <w:spacing w:after="0" w:line="250" w:lineRule="auto"/>
        <w:tabs>
          <w:tab w:leader="none" w:pos="323" w:val="left"/>
        </w:tabs>
        <w:numPr>
          <w:ilvl w:val="0"/>
          <w:numId w:val="2"/>
        </w:numPr>
        <w:rPr>
          <w:rFonts w:ascii="Arial" w:cs="Arial" w:eastAsia="Arial" w:hAnsi="Arial"/>
          <w:sz w:val="18"/>
          <w:szCs w:val="18"/>
          <w:color w:val="auto"/>
        </w:rPr>
      </w:pPr>
      <w:r>
        <w:rPr>
          <w:rFonts w:ascii="Times New Roman" w:cs="Times New Roman" w:eastAsia="Times New Roman" w:hAnsi="Times New Roman"/>
          <w:sz w:val="18"/>
          <w:szCs w:val="18"/>
          <w:color w:val="auto"/>
        </w:rPr>
        <w:t>the ability to continue to maintain and build recognized expertise and authority in the vertical subject areas that Dotdash Meredith believes matter most to consumer audiences, and to continue to create content and experiences that are useful, relevant and entertaining to consumer audiences and reflect their evolving preferences;</w:t>
      </w:r>
    </w:p>
    <w:p>
      <w:pPr>
        <w:spacing w:after="0" w:line="175" w:lineRule="exact"/>
        <w:rPr>
          <w:rFonts w:ascii="Arial" w:cs="Arial" w:eastAsia="Arial" w:hAnsi="Arial"/>
          <w:sz w:val="18"/>
          <w:szCs w:val="18"/>
          <w:color w:val="auto"/>
        </w:rPr>
      </w:pPr>
    </w:p>
    <w:p>
      <w:pPr>
        <w:ind w:left="328" w:right="180" w:hanging="328"/>
        <w:spacing w:after="0"/>
        <w:tabs>
          <w:tab w:leader="none" w:pos="32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continue to attract (and increase) traffic to Digital publishing brands through search engines, including the ability to ensure that information from such brands and related links are displayed prominently in search engine results, as well as the ability to respond to changes in the usage and functioning of search engines and the introduction of new means for consumers to obtain information powered by generative artificial intelligence;</w:t>
      </w:r>
    </w:p>
    <w:p>
      <w:pPr>
        <w:spacing w:after="0" w:line="184"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continue to build and maintain brand recognition, trust and loyalty across the Dotdash Meredith portfolio of publishing brands;</w:t>
      </w:r>
    </w:p>
    <w:p>
      <w:pPr>
        <w:spacing w:after="0" w:line="211" w:lineRule="exact"/>
        <w:rPr>
          <w:rFonts w:ascii="Times New Roman" w:cs="Times New Roman" w:eastAsia="Times New Roman" w:hAnsi="Times New Roman"/>
          <w:sz w:val="18"/>
          <w:szCs w:val="18"/>
          <w:color w:val="auto"/>
        </w:rPr>
      </w:pPr>
    </w:p>
    <w:p>
      <w:pPr>
        <w:ind w:left="328" w:right="220" w:hanging="328"/>
        <w:spacing w:after="0" w:line="265" w:lineRule="auto"/>
        <w:tabs>
          <w:tab w:leader="none" w:pos="323" w:val="left"/>
        </w:tabs>
        <w:numPr>
          <w:ilvl w:val="0"/>
          <w:numId w:val="2"/>
        </w:numPr>
        <w:rPr>
          <w:rFonts w:ascii="Arial" w:cs="Arial" w:eastAsia="Arial" w:hAnsi="Arial"/>
          <w:sz w:val="18"/>
          <w:szCs w:val="18"/>
          <w:color w:val="auto"/>
        </w:rPr>
      </w:pPr>
      <w:r>
        <w:rPr>
          <w:rFonts w:ascii="Times New Roman" w:cs="Times New Roman" w:eastAsia="Times New Roman" w:hAnsi="Times New Roman"/>
          <w:sz w:val="18"/>
          <w:szCs w:val="18"/>
          <w:color w:val="auto"/>
        </w:rPr>
        <w:t>the performance and visibility of the Dotdash Meredith portfolio of publishing brands (primarily across digital platforms) relative to those of its competitors;</w:t>
      </w:r>
    </w:p>
    <w:p>
      <w:pPr>
        <w:spacing w:after="0" w:line="163" w:lineRule="exact"/>
        <w:rPr>
          <w:rFonts w:ascii="Arial" w:cs="Arial" w:eastAsia="Arial" w:hAnsi="Arial"/>
          <w:sz w:val="18"/>
          <w:szCs w:val="18"/>
          <w:color w:val="auto"/>
        </w:rPr>
      </w:pPr>
    </w:p>
    <w:p>
      <w:pPr>
        <w:ind w:left="328" w:right="260" w:hanging="328"/>
        <w:spacing w:after="0" w:line="265" w:lineRule="auto"/>
        <w:tabs>
          <w:tab w:leader="none" w:pos="323" w:val="left"/>
        </w:tabs>
        <w:numPr>
          <w:ilvl w:val="0"/>
          <w:numId w:val="2"/>
        </w:numPr>
        <w:rPr>
          <w:rFonts w:ascii="Arial" w:cs="Arial" w:eastAsia="Arial" w:hAnsi="Arial"/>
          <w:sz w:val="18"/>
          <w:szCs w:val="18"/>
          <w:color w:val="auto"/>
        </w:rPr>
      </w:pPr>
      <w:r>
        <w:rPr>
          <w:rFonts w:ascii="Times New Roman" w:cs="Times New Roman" w:eastAsia="Times New Roman" w:hAnsi="Times New Roman"/>
          <w:sz w:val="18"/>
          <w:szCs w:val="18"/>
          <w:color w:val="auto"/>
        </w:rPr>
        <w:t>the ability to continue to grow and diversify monetization solutions, including advertising, e-commerce and affiliate relationships, performance marketing, licensing arrangements and other solutions;</w:t>
      </w:r>
    </w:p>
    <w:p>
      <w:pPr>
        <w:spacing w:after="0" w:line="163" w:lineRule="exact"/>
        <w:rPr>
          <w:rFonts w:ascii="Arial" w:cs="Arial" w:eastAsia="Arial" w:hAnsi="Arial"/>
          <w:sz w:val="18"/>
          <w:szCs w:val="18"/>
          <w:color w:val="auto"/>
        </w:rPr>
      </w:pPr>
    </w:p>
    <w:p>
      <w:pPr>
        <w:ind w:left="328" w:right="180" w:hanging="328"/>
        <w:spacing w:after="0" w:line="266" w:lineRule="auto"/>
        <w:tabs>
          <w:tab w:leader="none" w:pos="32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leverage existing proprietary platforms and data to provide consumer audiences with performant and relevant sites and experiences that are respectful (with targeted, limited ads) and privacy and search engine policy compliant;</w:t>
      </w:r>
    </w:p>
    <w:p>
      <w:pPr>
        <w:spacing w:after="0" w:line="162"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maintain and grow relationships with advertisers, which will depend on:</w:t>
      </w:r>
    </w:p>
    <w:p>
      <w:pPr>
        <w:spacing w:after="0" w:line="211" w:lineRule="exact"/>
        <w:rPr>
          <w:rFonts w:ascii="Times New Roman" w:cs="Times New Roman" w:eastAsia="Times New Roman" w:hAnsi="Times New Roman"/>
          <w:sz w:val="18"/>
          <w:szCs w:val="18"/>
          <w:color w:val="auto"/>
        </w:rPr>
      </w:pPr>
    </w:p>
    <w:p>
      <w:pPr>
        <w:ind w:left="648" w:hanging="324"/>
        <w:spacing w:after="0"/>
        <w:tabs>
          <w:tab w:leader="none" w:pos="648"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rates charged for Digital and Print advertising;</w:t>
      </w:r>
    </w:p>
    <w:p>
      <w:pPr>
        <w:spacing w:after="0" w:line="211" w:lineRule="exact"/>
        <w:rPr>
          <w:rFonts w:ascii="Times New Roman" w:cs="Times New Roman" w:eastAsia="Times New Roman" w:hAnsi="Times New Roman"/>
          <w:sz w:val="18"/>
          <w:szCs w:val="18"/>
          <w:color w:val="auto"/>
        </w:rPr>
      </w:pPr>
    </w:p>
    <w:p>
      <w:pPr>
        <w:ind w:left="648" w:hanging="324"/>
        <w:spacing w:after="0"/>
        <w:tabs>
          <w:tab w:leader="none" w:pos="648"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breadth of demographic reach in terms of traffic to our Digital brands and subscriptions and readership in terms of our Print publications;</w:t>
      </w:r>
    </w:p>
    <w:p>
      <w:pPr>
        <w:spacing w:after="0" w:line="198" w:lineRule="exact"/>
        <w:rPr>
          <w:rFonts w:ascii="Times New Roman" w:cs="Times New Roman" w:eastAsia="Times New Roman" w:hAnsi="Times New Roman"/>
          <w:sz w:val="18"/>
          <w:szCs w:val="18"/>
          <w:color w:val="auto"/>
        </w:rPr>
      </w:pPr>
    </w:p>
    <w:p>
      <w:pPr>
        <w:ind w:left="648" w:right="40" w:hanging="324"/>
        <w:spacing w:after="0" w:line="266" w:lineRule="auto"/>
        <w:tabs>
          <w:tab w:leader="none" w:pos="643"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consistently provide advertisers and marketers across the Dotdash Meredith portfolio of digital brands and our Print publications with a compelling return on their investments;</w:t>
      </w:r>
    </w:p>
    <w:p>
      <w:pPr>
        <w:spacing w:after="0" w:line="162" w:lineRule="exact"/>
        <w:rPr>
          <w:rFonts w:ascii="Times New Roman" w:cs="Times New Roman" w:eastAsia="Times New Roman" w:hAnsi="Times New Roman"/>
          <w:sz w:val="18"/>
          <w:szCs w:val="18"/>
          <w:color w:val="auto"/>
        </w:rPr>
      </w:pPr>
    </w:p>
    <w:p>
      <w:pPr>
        <w:ind w:left="648" w:hanging="324"/>
        <w:spacing w:after="0" w:line="250" w:lineRule="auto"/>
        <w:tabs>
          <w:tab w:leader="none" w:pos="643"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Digital business only, the continued ability to target audiences (including based on intent, among other ways), including through the continued development of new (and the enhancement of existing) digital advertising products and services in response to evolving digital advertising trends; and</w:t>
      </w:r>
    </w:p>
    <w:p>
      <w:pPr>
        <w:spacing w:after="0" w:line="176" w:lineRule="exact"/>
        <w:rPr>
          <w:rFonts w:ascii="Times New Roman" w:cs="Times New Roman" w:eastAsia="Times New Roman" w:hAnsi="Times New Roman"/>
          <w:sz w:val="18"/>
          <w:szCs w:val="18"/>
          <w:color w:val="auto"/>
        </w:rPr>
      </w:pPr>
    </w:p>
    <w:p>
      <w:pPr>
        <w:ind w:left="648" w:hanging="324"/>
        <w:spacing w:after="0"/>
        <w:tabs>
          <w:tab w:leader="none" w:pos="648"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Print business only, the circulation levels of print magazines and the profit derived from such circulation;</w:t>
      </w:r>
    </w:p>
    <w:p>
      <w:pPr>
        <w:spacing w:after="0" w:line="211" w:lineRule="exact"/>
        <w:rPr>
          <w:rFonts w:ascii="Times New Roman" w:cs="Times New Roman" w:eastAsia="Times New Roman" w:hAnsi="Times New Roman"/>
          <w:sz w:val="18"/>
          <w:szCs w:val="18"/>
          <w:color w:val="auto"/>
        </w:rPr>
      </w:pPr>
    </w:p>
    <w:p>
      <w:pPr>
        <w:ind w:left="328" w:right="40" w:hanging="328"/>
        <w:spacing w:after="0" w:line="250" w:lineRule="auto"/>
        <w:tabs>
          <w:tab w:leader="none" w:pos="32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grow e-commerce related content and experiences and leverage the Dotdash Meredith portfolio of publishing brands and expertise to result in purchases and transactions and to continue to maintain good relationships with third parties upon which we depend in connection these efforts; and</w:t>
      </w:r>
    </w:p>
    <w:p>
      <w:pPr>
        <w:spacing w:after="0" w:line="176"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Print business only:</w:t>
      </w:r>
    </w:p>
    <w:p>
      <w:pPr>
        <w:spacing w:after="0" w:line="211" w:lineRule="exact"/>
        <w:rPr>
          <w:rFonts w:ascii="Times New Roman" w:cs="Times New Roman" w:eastAsia="Times New Roman" w:hAnsi="Times New Roman"/>
          <w:sz w:val="18"/>
          <w:szCs w:val="18"/>
          <w:color w:val="auto"/>
        </w:rPr>
      </w:pPr>
    </w:p>
    <w:p>
      <w:pPr>
        <w:ind w:left="648" w:hanging="324"/>
        <w:spacing w:after="0"/>
        <w:tabs>
          <w:tab w:leader="none" w:pos="648"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retain existing subscribers and successfully drive new subscribers to print magazines in a cost-effective manner;</w:t>
      </w:r>
    </w:p>
    <w:p>
      <w:pPr>
        <w:spacing w:after="0" w:line="211" w:lineRule="exact"/>
        <w:rPr>
          <w:rFonts w:ascii="Times New Roman" w:cs="Times New Roman" w:eastAsia="Times New Roman" w:hAnsi="Times New Roman"/>
          <w:sz w:val="18"/>
          <w:szCs w:val="18"/>
          <w:color w:val="auto"/>
        </w:rPr>
      </w:pPr>
    </w:p>
    <w:p>
      <w:pPr>
        <w:ind w:left="648" w:hanging="324"/>
        <w:spacing w:after="0"/>
        <w:tabs>
          <w:tab w:leader="none" w:pos="648"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maintain print advertising rates and the number of pages sold by brand and issue;</w:t>
      </w:r>
    </w:p>
    <w:p>
      <w:pPr>
        <w:spacing w:after="0" w:line="211" w:lineRule="exact"/>
        <w:rPr>
          <w:rFonts w:ascii="Times New Roman" w:cs="Times New Roman" w:eastAsia="Times New Roman" w:hAnsi="Times New Roman"/>
          <w:sz w:val="18"/>
          <w:szCs w:val="18"/>
          <w:color w:val="auto"/>
        </w:rPr>
      </w:pPr>
    </w:p>
    <w:p>
      <w:pPr>
        <w:ind w:left="648" w:hanging="324"/>
        <w:spacing w:after="0"/>
        <w:tabs>
          <w:tab w:leader="none" w:pos="648"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charged for print magazines; and</w:t>
      </w:r>
    </w:p>
    <w:p>
      <w:pPr>
        <w:spacing w:after="0" w:line="198" w:lineRule="exact"/>
        <w:rPr>
          <w:rFonts w:ascii="Times New Roman" w:cs="Times New Roman" w:eastAsia="Times New Roman" w:hAnsi="Times New Roman"/>
          <w:sz w:val="18"/>
          <w:szCs w:val="18"/>
          <w:color w:val="auto"/>
        </w:rPr>
      </w:pPr>
    </w:p>
    <w:p>
      <w:pPr>
        <w:ind w:left="648" w:hanging="324"/>
        <w:spacing w:after="0"/>
        <w:tabs>
          <w:tab w:leader="none" w:pos="648"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provide quality customer service to advertisers, marketers and subscribers.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8"/>
          </w:cols>
          <w:pgMar w:left="652" w:top="1093"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Angi</w:t>
      </w: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16" w:lineRule="exact"/>
        <w:rPr>
          <w:sz w:val="20"/>
          <w:szCs w:val="20"/>
          <w:color w:val="auto"/>
        </w:rPr>
      </w:pPr>
    </w:p>
    <w:p>
      <w:pPr>
        <w:ind w:firstLine="324"/>
        <w:spacing w:after="0" w:line="242" w:lineRule="auto"/>
        <w:rPr>
          <w:sz w:val="20"/>
          <w:szCs w:val="20"/>
          <w:color w:val="auto"/>
        </w:rPr>
      </w:pPr>
      <w:r>
        <w:rPr>
          <w:rFonts w:ascii="Times New Roman" w:cs="Times New Roman" w:eastAsia="Times New Roman" w:hAnsi="Times New Roman"/>
          <w:sz w:val="18"/>
          <w:szCs w:val="18"/>
          <w:color w:val="auto"/>
        </w:rPr>
        <w:t>Angi is a publicly traded company that connects quality home professionals with consumers across more than 500 different categories, from repairing and remodeling homes to cleaning and landscaping. Approximately 168,000 transacting professionals actively sought consumer matches, completed jobs or advertised work through Angi platforms during the three months ended December 31, 2024. Additionally, consumers turned to at least one of Angi's businesses to find a professional for approximately 17 million projects during the twelve months ended December 31, 2024. At December 31, 2024, IAC’s economic interest and voting interest in Angi were 85.3% and 98.3%, respectively.</w:t>
      </w:r>
    </w:p>
    <w:p>
      <w:pPr>
        <w:spacing w:after="0" w:line="171" w:lineRule="exact"/>
        <w:rPr>
          <w:sz w:val="20"/>
          <w:szCs w:val="20"/>
          <w:color w:val="auto"/>
        </w:rPr>
      </w:pPr>
    </w:p>
    <w:p>
      <w:pPr>
        <w:ind w:right="60" w:firstLine="324"/>
        <w:spacing w:after="0" w:line="250" w:lineRule="auto"/>
        <w:rPr>
          <w:sz w:val="20"/>
          <w:szCs w:val="20"/>
          <w:color w:val="auto"/>
        </w:rPr>
      </w:pPr>
      <w:r>
        <w:rPr>
          <w:rFonts w:ascii="Times New Roman" w:cs="Times New Roman" w:eastAsia="Times New Roman" w:hAnsi="Times New Roman"/>
          <w:sz w:val="18"/>
          <w:szCs w:val="18"/>
          <w:color w:val="auto"/>
        </w:rPr>
        <w:t>Following the sale of Total Home Roofing, LLC (“Roofing”) on November 1, 2023, our Angi segment has three operating segments: (i) Ads and Leads, (ii) Services and (iii) International (Europe and Canada), with the various businesses within those segments operating under multiple brands and the historical results of Roofing reflected in Emerging &amp; Other.</w:t>
      </w:r>
    </w:p>
    <w:p>
      <w:pPr>
        <w:spacing w:after="0" w:line="177" w:lineRule="exact"/>
        <w:rPr>
          <w:sz w:val="20"/>
          <w:szCs w:val="20"/>
          <w:color w:val="auto"/>
        </w:rPr>
      </w:pPr>
    </w:p>
    <w:p>
      <w:pPr>
        <w:ind w:right="100" w:firstLine="324"/>
        <w:spacing w:after="0" w:line="241" w:lineRule="auto"/>
        <w:rPr>
          <w:sz w:val="20"/>
          <w:szCs w:val="20"/>
          <w:color w:val="auto"/>
        </w:rPr>
      </w:pPr>
      <w:r>
        <w:rPr>
          <w:rFonts w:ascii="Times New Roman" w:cs="Times New Roman" w:eastAsia="Times New Roman" w:hAnsi="Times New Roman"/>
          <w:sz w:val="18"/>
          <w:szCs w:val="18"/>
          <w:color w:val="auto"/>
        </w:rPr>
        <w:t>In the United States, Angi, through several differentiated experiences, provides consumers with tools and resources to help them find local, pre-screened and customer-rated professionals, refers consumers to independently established home professionals engaged in a trade, occupation and/or businesses that customarily provides such services and provides consumers with tools to communicate with professionals and pay for related services. Consumers are generally presented with a combination of Ads, Leads and/or Services professionals depending on the nature of the service request and the path through which it was submitted. Professionals are presented to consumers by way of Angi's proprietary algorithm, based on several factors (including the type of services desired, location, job date and time, and/or the number of professionals available to fulfill the request).</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the case of:</w:t>
      </w:r>
    </w:p>
    <w:p>
      <w:pPr>
        <w:spacing w:after="0" w:line="252" w:lineRule="exact"/>
        <w:rPr>
          <w:sz w:val="20"/>
          <w:szCs w:val="20"/>
          <w:color w:val="auto"/>
        </w:rPr>
      </w:pPr>
    </w:p>
    <w:p>
      <w:pPr>
        <w:ind w:left="820" w:hanging="326"/>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Ads and Leads, professionals pay for connections to consumers; and</w:t>
      </w:r>
    </w:p>
    <w:p>
      <w:pPr>
        <w:spacing w:after="0" w:line="117" w:lineRule="exact"/>
        <w:rPr>
          <w:rFonts w:ascii="Times New Roman" w:cs="Times New Roman" w:eastAsia="Times New Roman" w:hAnsi="Times New Roman"/>
          <w:sz w:val="18"/>
          <w:szCs w:val="18"/>
          <w:color w:val="auto"/>
        </w:rPr>
      </w:pPr>
    </w:p>
    <w:p>
      <w:pPr>
        <w:ind w:left="820" w:hanging="326"/>
        <w:spacing w:after="0" w:line="282" w:lineRule="auto"/>
        <w:tabs>
          <w:tab w:leader="none" w:pos="8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Services, consumers make payment through the Angi platform for a specific job and professionals accept and complete the job and receive a portion of the job fee.</w:t>
      </w:r>
    </w:p>
    <w:p>
      <w:pPr>
        <w:spacing w:after="0" w:line="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Domestic</w:t>
      </w:r>
    </w:p>
    <w:p>
      <w:pPr>
        <w:spacing w:after="0" w:line="216" w:lineRule="exact"/>
        <w:rPr>
          <w:sz w:val="20"/>
          <w:szCs w:val="20"/>
          <w:color w:val="auto"/>
        </w:rPr>
      </w:pPr>
    </w:p>
    <w:p>
      <w:pPr>
        <w:jc w:val="both"/>
        <w:ind w:right="300" w:firstLine="324"/>
        <w:spacing w:after="0" w:line="251" w:lineRule="auto"/>
        <w:rPr>
          <w:sz w:val="20"/>
          <w:szCs w:val="20"/>
          <w:color w:val="auto"/>
        </w:rPr>
      </w:pPr>
      <w:r>
        <w:rPr>
          <w:rFonts w:ascii="Times New Roman" w:cs="Times New Roman" w:eastAsia="Times New Roman" w:hAnsi="Times New Roman"/>
          <w:sz w:val="17"/>
          <w:szCs w:val="17"/>
          <w:color w:val="auto"/>
        </w:rPr>
        <w:t>In the United States, the Company, through several differentiated experiences, provides consumers with tools and resources to help them find local, pre-screened and customer-rated professionals, refers consumers to independently established home professionals engaged in a trade, occupation and/or businesses that customarily provides such services and provides consumers with tools to communicate with professionals and pay for related services.</w:t>
      </w:r>
    </w:p>
    <w:p>
      <w:pPr>
        <w:spacing w:after="0" w:line="1" w:lineRule="exact"/>
        <w:rPr>
          <w:sz w:val="20"/>
          <w:szCs w:val="20"/>
          <w:color w:val="auto"/>
        </w:rPr>
      </w:pPr>
    </w:p>
    <w:p>
      <w:pPr>
        <w:jc w:val="both"/>
        <w:ind w:right="60"/>
        <w:spacing w:after="0" w:line="239" w:lineRule="auto"/>
        <w:rPr>
          <w:sz w:val="20"/>
          <w:szCs w:val="20"/>
          <w:color w:val="auto"/>
        </w:rPr>
      </w:pPr>
      <w:r>
        <w:rPr>
          <w:rFonts w:ascii="Times New Roman" w:cs="Times New Roman" w:eastAsia="Times New Roman" w:hAnsi="Times New Roman"/>
          <w:sz w:val="18"/>
          <w:szCs w:val="18"/>
          <w:color w:val="auto"/>
        </w:rPr>
        <w:t>Consumers are generally presented with a combination of Ads, Leads and/or Services professionals depending on the nature of the service request and the path through which it was submitted. Professionals are presented to consumers by way of our proprietary algorithm, based on several factors (including the type of services desired, location, job date and time, and/or the number of professionals available to fulfill the request).</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the case of:</w:t>
      </w:r>
    </w:p>
    <w:p>
      <w:pPr>
        <w:spacing w:after="0" w:line="260" w:lineRule="exact"/>
        <w:rPr>
          <w:sz w:val="20"/>
          <w:szCs w:val="20"/>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Ads and Leads, professionals pay for connections to consumers; and</w:t>
      </w:r>
    </w:p>
    <w:p>
      <w:pPr>
        <w:spacing w:after="0" w:line="13" w:lineRule="exact"/>
        <w:rPr>
          <w:rFonts w:ascii="Arial" w:cs="Arial" w:eastAsia="Arial" w:hAnsi="Arial"/>
          <w:sz w:val="22"/>
          <w:szCs w:val="22"/>
          <w:color w:val="auto"/>
        </w:rPr>
      </w:pPr>
    </w:p>
    <w:p>
      <w:pPr>
        <w:ind w:left="660" w:hanging="328"/>
        <w:spacing w:after="0" w:line="225" w:lineRule="auto"/>
        <w:tabs>
          <w:tab w:leader="none" w:pos="628"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Services, consumers make payment through the Angi platform for a specific job and professionals accept and complete the job and receive a portion of the job fee.</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Consumers</w:t>
      </w:r>
    </w:p>
    <w:p>
      <w:pPr>
        <w:spacing w:after="0" w:line="243" w:lineRule="exact"/>
        <w:rPr>
          <w:sz w:val="20"/>
          <w:szCs w:val="20"/>
          <w:color w:val="auto"/>
        </w:rPr>
      </w:pPr>
    </w:p>
    <w:p>
      <w:pPr>
        <w:ind w:right="20" w:firstLine="324"/>
        <w:spacing w:after="0" w:line="237" w:lineRule="auto"/>
        <w:rPr>
          <w:sz w:val="20"/>
          <w:szCs w:val="20"/>
          <w:color w:val="auto"/>
        </w:rPr>
      </w:pPr>
      <w:r>
        <w:rPr>
          <w:rFonts w:ascii="Times New Roman" w:cs="Times New Roman" w:eastAsia="Times New Roman" w:hAnsi="Times New Roman"/>
          <w:sz w:val="18"/>
          <w:szCs w:val="18"/>
          <w:color w:val="auto"/>
        </w:rPr>
        <w:t>Consumers can connect with professionals across more than 500 service categories in our nationwide network through our digital marketplace and certain third-party affiliate platforms. In some cases, consumers can pay directly on the Angi platform for requested home services as well as select third-party retail partners (online and in store, where available) for assembly, installation and other related services to be fulfilled by professionals referred by Angi. Consumers can access our network and related basic tools and services, free of charge upon registration, as well as by way of purchased membership packages. This includes consumers access to our online True Cost Guide, which provides project cost information for hundreds of project types nationwide, ratings, reviews, and certain promotions, as well as a library of home services-related content consisting primarily of articles about home improvement, repair and maintenance, tools to assist consumers with the research, planning and management of their projects, and general advice for working with professionals.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0" w:name="page11"/>
    <w:bookmarkEnd w:id="10"/>
    <w:p>
      <w:pPr>
        <w:ind w:right="260" w:firstLine="324"/>
        <w:spacing w:after="0" w:line="237" w:lineRule="auto"/>
        <w:rPr>
          <w:sz w:val="20"/>
          <w:szCs w:val="20"/>
          <w:color w:val="auto"/>
        </w:rPr>
      </w:pPr>
      <w:r>
        <w:rPr>
          <w:rFonts w:ascii="Times New Roman" w:cs="Times New Roman" w:eastAsia="Times New Roman" w:hAnsi="Times New Roman"/>
          <w:sz w:val="18"/>
          <w:szCs w:val="18"/>
          <w:color w:val="auto"/>
        </w:rPr>
        <w:t>In each of Ads, Leads and Services, professionals may contact consumers who have selected them, and consumers can generally review profiles, ratings and reviews of presented professionals and select the professional whom they believe best meets their specific needs. Consumers are under no obligation to work with any professional(s) referred by or found through any of our branded or third-party affiliate platforms. Consumers can rate professionals on a one to five star rating scale based on a variety of criteria, including, but not limited to, overall experience, availability, price, quality, responsiveness, punctuality and professionalism, depending on the type of service provided. Ratings on each applicable criterion are weighted across all reviews submitted for a given professional to produce such professional’s overall rating. Consumers can also provide a detailed description of their experiences with professionals. Ratings and reviews cannot be submitted anonymously and there are processes in place to prevent professionals from reporting on themselves or their competitors, as well as to detect fraudulent or otherwise problematic reviews.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Professionals</w:t>
      </w:r>
    </w:p>
    <w:p>
      <w:pPr>
        <w:spacing w:after="0" w:line="243" w:lineRule="exact"/>
        <w:rPr>
          <w:sz w:val="20"/>
          <w:szCs w:val="20"/>
          <w:color w:val="auto"/>
        </w:rPr>
      </w:pPr>
    </w:p>
    <w:p>
      <w:pPr>
        <w:ind w:right="120" w:firstLine="324"/>
        <w:spacing w:after="0" w:line="241" w:lineRule="auto"/>
        <w:rPr>
          <w:sz w:val="20"/>
          <w:szCs w:val="20"/>
          <w:color w:val="auto"/>
        </w:rPr>
      </w:pPr>
      <w:r>
        <w:rPr>
          <w:rFonts w:ascii="Times New Roman" w:cs="Times New Roman" w:eastAsia="Times New Roman" w:hAnsi="Times New Roman"/>
          <w:sz w:val="18"/>
          <w:szCs w:val="18"/>
          <w:color w:val="auto"/>
        </w:rPr>
        <w:t>In order to become an approved professional in the Angi network, professionals must satisfy certain criteria. Generally, professionals with an average consumer rating below a “3” are not eligible for an approved status. In addition to retaining the requisite member rating, the owners or principals of businesses affiliated with professionals must pass certain criminal background checks and attest to applicable state and local licensure requirements. If an approved professional fails to meet any eligibility criteria during the applicable contract term, refuses to participate in our complaint resolution process, and/or engages in what we determine to be prohibited behavior through any of our platforms, existing service and access to the platform will be subject to termination.</w:t>
      </w:r>
    </w:p>
    <w:p>
      <w:pPr>
        <w:spacing w:after="0" w:line="211"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7"/>
          <w:szCs w:val="17"/>
          <w:color w:val="auto"/>
        </w:rPr>
        <w:t>Once eligibility criteria are satisfied, professionals are approved and can purchase service and be referred to consumers utilizing our proprietary algorithm. Services professionals pay fees for such referrals, however, there is no charge to enroll and no charge to view and select a requested service once enrolled. Our Ads and Leads business sells memberships, term-based website, mobile, and magazine advertising and, beginning in 2024, subscriptions to approved professionals through our salesforce and online, as well as provides them with a variety of services. The membership package includes membership in our digital marketplace, as well as access to consumer referrals (for which additional fees are generally paid) and a listing in our online directory and certain other affiliated directories. Basic annual membership also includes a business profile page on HomeAdvisor.com and Angi.com, a mobile application and access to various online tools designed to help professionals more effectively market to, manage and connect with, consumers to whom they have been referred. In 2025, it is expected that Ads and Leads professionals will only be able to participate in the following three types of offerings: full-priced leads within a monthly budget, access to discounted leads in a subscription package, and/or double opt-in leads on an a-la-carte basis.</w:t>
      </w:r>
    </w:p>
    <w:p>
      <w:pPr>
        <w:spacing w:after="0" w:line="2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International (Europe and Canada)</w:t>
      </w:r>
    </w:p>
    <w:p>
      <w:pPr>
        <w:spacing w:after="0" w:line="216"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18"/>
          <w:szCs w:val="18"/>
          <w:color w:val="auto"/>
        </w:rPr>
        <w:t>Through the International (Europe and Canada) segment, Angi also owns and operates the following international businesses that connect consumers with professionals, including: (i) HomeStars, MyBuilder, MyHammer, Travaux and Werkspot, leading home services marketplaces in Canada, the United Kingdom, Germany, France and the Netherlands, respectively, (ii) the Austrian operations of MyHammer and (iii) the Italian operations of Werkspot. The business models of these businesses differ in certain respects from the business models of Angi’s various domestic businesses.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1" w:name="page12"/>
    <w:bookmarkEnd w:id="11"/>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1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Ads and Leads revenue includes consumer connection revenue, which comprises fees paid by professionals for consumer matches (regardless of whether the professional ultimately provides the requested service), revenue from professionals under contract for advertising, membership subscription revenue</w:t>
      </w:r>
    </w:p>
    <w:p>
      <w:pPr>
        <w:spacing w:after="0" w:line="245" w:lineRule="auto"/>
        <w:rPr>
          <w:sz w:val="20"/>
          <w:szCs w:val="20"/>
          <w:color w:val="auto"/>
        </w:rPr>
      </w:pPr>
      <w:r>
        <w:rPr>
          <w:rFonts w:ascii="Times New Roman" w:cs="Times New Roman" w:eastAsia="Times New Roman" w:hAnsi="Times New Roman"/>
          <w:sz w:val="18"/>
          <w:szCs w:val="18"/>
          <w:color w:val="auto"/>
        </w:rPr>
        <w:t>from professionals and consumers and revenue from other services. Consumer connection revenue varies based upon several factors, including the service requested, product experience offered and geographic location of service. Services revenue primarily reflects domestic revenue from pre-priced offerings by which the consumer requests services through an Angi platform and Angi engages a professional to perform the service. International revenue primarily comprises consumer connection revenue for matches between consumers and professionals and membership subscription revenue from professionals.</w:t>
      </w:r>
    </w:p>
    <w:p>
      <w:pPr>
        <w:spacing w:after="0" w:line="1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Marketing</w:t>
      </w:r>
    </w:p>
    <w:p>
      <w:pPr>
        <w:spacing w:after="0" w:line="216" w:lineRule="exact"/>
        <w:rPr>
          <w:sz w:val="20"/>
          <w:szCs w:val="20"/>
          <w:color w:val="auto"/>
        </w:rPr>
      </w:pPr>
    </w:p>
    <w:p>
      <w:pPr>
        <w:ind w:right="100" w:firstLine="324"/>
        <w:spacing w:after="0"/>
        <w:rPr>
          <w:sz w:val="20"/>
          <w:szCs w:val="20"/>
          <w:color w:val="auto"/>
        </w:rPr>
      </w:pPr>
      <w:r>
        <w:rPr>
          <w:rFonts w:ascii="Times New Roman" w:cs="Times New Roman" w:eastAsia="Times New Roman" w:hAnsi="Times New Roman"/>
          <w:sz w:val="18"/>
          <w:szCs w:val="18"/>
          <w:color w:val="auto"/>
        </w:rPr>
        <w:t>Angi markets its various products and services to consumers primarily through digital marketing (primarily paid and free search engine marketing, display advertising and third-party affiliate agreements), as well as through traditional offline marketing (national television and radio campaigns) and email. Pursuant to third-party affiliate agreements, third parties agree to advertise and promote Angi’s various products and services (and those of its various professionals) on their platforms. In exchange for these efforts, these third parties are paid a fee when visitors from their platforms click through and submit a valid service request through Angi platforms or when visitors submit a valid service request on an affiliate platform and the relevant affiliate transmits the service request to Angi. Angi also markets its various products and services to consumers through relationships with select third-party retail partners and, to a lesser extent, through partnerships with other contextually related websites and direct mail.</w:t>
      </w:r>
    </w:p>
    <w:p>
      <w:pPr>
        <w:spacing w:after="0" w:line="185" w:lineRule="exact"/>
        <w:rPr>
          <w:sz w:val="20"/>
          <w:szCs w:val="20"/>
          <w:color w:val="auto"/>
        </w:rPr>
      </w:pPr>
    </w:p>
    <w:p>
      <w:pPr>
        <w:ind w:right="200" w:firstLine="324"/>
        <w:spacing w:after="0" w:line="250" w:lineRule="auto"/>
        <w:rPr>
          <w:sz w:val="20"/>
          <w:szCs w:val="20"/>
          <w:color w:val="auto"/>
        </w:rPr>
      </w:pPr>
      <w:r>
        <w:rPr>
          <w:rFonts w:ascii="Times New Roman" w:cs="Times New Roman" w:eastAsia="Times New Roman" w:hAnsi="Times New Roman"/>
          <w:sz w:val="18"/>
          <w:szCs w:val="18"/>
          <w:color w:val="auto"/>
        </w:rPr>
        <w:t>Angi markets term-based advertising and related products, as well as matching services and digital marketplace membership subscriptions, to professionals primarily through its sales force. These products and services are also marketed, together with pre-priced offerings and various directories, through paid search engine marketing, digital media advertising and direct relationships with trade associations and manufacturers.</w:t>
      </w:r>
    </w:p>
    <w:p>
      <w:pPr>
        <w:spacing w:after="0" w:line="177" w:lineRule="exact"/>
        <w:rPr>
          <w:sz w:val="20"/>
          <w:szCs w:val="20"/>
          <w:color w:val="auto"/>
        </w:rPr>
      </w:pPr>
    </w:p>
    <w:p>
      <w:pPr>
        <w:ind w:right="400" w:firstLine="324"/>
        <w:spacing w:after="0" w:line="266" w:lineRule="auto"/>
        <w:rPr>
          <w:sz w:val="20"/>
          <w:szCs w:val="20"/>
          <w:color w:val="auto"/>
        </w:rPr>
      </w:pPr>
      <w:r>
        <w:rPr>
          <w:rFonts w:ascii="Times New Roman" w:cs="Times New Roman" w:eastAsia="Times New Roman" w:hAnsi="Times New Roman"/>
          <w:sz w:val="18"/>
          <w:szCs w:val="18"/>
          <w:color w:val="auto"/>
        </w:rPr>
        <w:t>Angi has made (and we expect that it will continue to make) substantial investments in digital and traditional offline marketing to consumers and professionals to promote its various products and services and drive visitors to Angi platforms and professionals.</w:t>
      </w:r>
    </w:p>
    <w:p>
      <w:pPr>
        <w:spacing w:after="0" w:line="1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216" w:lineRule="exact"/>
        <w:rPr>
          <w:sz w:val="20"/>
          <w:szCs w:val="20"/>
          <w:color w:val="auto"/>
        </w:rPr>
      </w:pPr>
    </w:p>
    <w:p>
      <w:pPr>
        <w:ind w:right="20" w:firstLine="324"/>
        <w:spacing w:after="0" w:line="241" w:lineRule="auto"/>
        <w:rPr>
          <w:sz w:val="20"/>
          <w:szCs w:val="20"/>
          <w:color w:val="auto"/>
        </w:rPr>
      </w:pPr>
      <w:r>
        <w:rPr>
          <w:rFonts w:ascii="Times New Roman" w:cs="Times New Roman" w:eastAsia="Times New Roman" w:hAnsi="Times New Roman"/>
          <w:sz w:val="18"/>
          <w:szCs w:val="18"/>
          <w:color w:val="auto"/>
        </w:rPr>
        <w:t>The home services industry is highly competitive and fragmented, and in many important respects, local in nature. In the case of Angi, competitors primarily include: (i) search engines and online directories, (ii) home and/or local services-related platforms, (iii) providers of consumer ratings, reviews and referrals and (iv) various forms of traditional offline advertising (primarily local in nature), including radio, direct marketing campaigns, yellow pages, newspapers and other offline directories. These businesses also compete with local and national retailers of home improvement products that offer or promote installation services. We believe Angi’s biggest competition comes from the traditional methods most people currently use to find professionals, which are by word-of-mouth and through referrals.</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believe that the ability of Angi to compete successfully will depend primarily upon the following factors:</w:t>
      </w:r>
    </w:p>
    <w:p>
      <w:pPr>
        <w:spacing w:after="0" w:line="216" w:lineRule="exact"/>
        <w:rPr>
          <w:sz w:val="20"/>
          <w:szCs w:val="20"/>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 xml:space="preserve">the ability to continue to successfully build and maintain awareness of, and trust and loyalty to, the </w:t>
      </w:r>
      <w:r>
        <w:rPr>
          <w:rFonts w:ascii="Times New Roman" w:cs="Times New Roman" w:eastAsia="Times New Roman" w:hAnsi="Times New Roman"/>
          <w:sz w:val="18"/>
          <w:szCs w:val="18"/>
          <w:i w:val="1"/>
          <w:iCs w:val="1"/>
          <w:color w:val="auto"/>
        </w:rPr>
        <w:t>Angi</w:t>
      </w:r>
      <w:r>
        <w:rPr>
          <w:rFonts w:ascii="Times New Roman" w:cs="Times New Roman" w:eastAsia="Times New Roman" w:hAnsi="Times New Roman"/>
          <w:sz w:val="18"/>
          <w:szCs w:val="18"/>
          <w:color w:val="auto"/>
        </w:rPr>
        <w:t xml:space="preserve"> brand</w:t>
      </w:r>
      <w:r>
        <w:rPr>
          <w:rFonts w:ascii="Times New Roman" w:cs="Times New Roman" w:eastAsia="Times New Roman" w:hAnsi="Times New Roman"/>
          <w:sz w:val="21"/>
          <w:szCs w:val="21"/>
          <w:color w:val="auto"/>
        </w:rPr>
        <w:t>;</w:t>
      </w:r>
    </w:p>
    <w:p>
      <w:pPr>
        <w:spacing w:after="0" w:line="242" w:lineRule="exact"/>
        <w:rPr>
          <w:rFonts w:ascii="Arial" w:cs="Arial" w:eastAsia="Arial" w:hAnsi="Arial"/>
          <w:sz w:val="22"/>
          <w:szCs w:val="22"/>
          <w:color w:val="auto"/>
        </w:rPr>
      </w:pPr>
    </w:p>
    <w:p>
      <w:pPr>
        <w:ind w:left="660" w:right="20" w:hanging="328"/>
        <w:spacing w:after="0" w:line="230" w:lineRule="auto"/>
        <w:tabs>
          <w:tab w:leader="none" w:pos="655"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the functionality of Angi websites and mobile applications and the attractiveness of their features and Angi Inc. products and services generally to consumers and professionals, as well as the continued ability to introduce new products and services that resonate with consumers and professionals generally;</w:t>
      </w:r>
    </w:p>
    <w:p>
      <w:pPr>
        <w:spacing w:after="0" w:line="206"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the ability to expand pre-priced offerings, while balancing the overall mix of service requests and directory services on Angi platforms generally;</w:t>
      </w:r>
    </w:p>
    <w:p>
      <w:pPr>
        <w:spacing w:after="0" w:line="192"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the size, quality, diversity and stability of the network of professionals and the breadth of online directory listings;</w:t>
      </w:r>
    </w:p>
    <w:p>
      <w:pPr>
        <w:spacing w:after="0" w:line="224" w:lineRule="exact"/>
        <w:rPr>
          <w:rFonts w:ascii="Arial" w:cs="Arial" w:eastAsia="Arial" w:hAnsi="Arial"/>
          <w:sz w:val="22"/>
          <w:szCs w:val="22"/>
          <w:color w:val="auto"/>
        </w:rPr>
      </w:pPr>
    </w:p>
    <w:p>
      <w:pPr>
        <w:ind w:left="660" w:right="60" w:hanging="328"/>
        <w:spacing w:after="0" w:line="227" w:lineRule="auto"/>
        <w:tabs>
          <w:tab w:leader="none" w:pos="655"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the ability to consistently generate service requests and pre-priced bookings through Angi platforms that convert into revenue for professionals in a cost-effective manner;</w:t>
      </w:r>
    </w:p>
    <w:p>
      <w:pPr>
        <w:spacing w:after="0" w:line="185" w:lineRule="exact"/>
        <w:rPr>
          <w:rFonts w:ascii="Arial" w:cs="Arial" w:eastAsia="Arial" w:hAnsi="Arial"/>
          <w:sz w:val="22"/>
          <w:szCs w:val="22"/>
          <w:color w:val="auto"/>
        </w:rPr>
      </w:pPr>
    </w:p>
    <w:p>
      <w:pPr>
        <w:ind w:left="660" w:right="32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continue to attract (and increase) traffic to Angi brands and platforms through search engines, including the ability to ensure that information from such brands and platforms and related links are displayed prominently in</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9" w:right="399" w:bottom="1440" w:gutter="0" w:footer="0" w:header="0"/>
        </w:sectPr>
      </w:pPr>
    </w:p>
    <w:bookmarkStart w:id="12" w:name="page13"/>
    <w:bookmarkEnd w:id="12"/>
    <w:p>
      <w:pPr>
        <w:ind w:left="660" w:right="340"/>
        <w:spacing w:after="0" w:line="266" w:lineRule="auto"/>
        <w:rPr>
          <w:sz w:val="20"/>
          <w:szCs w:val="20"/>
          <w:color w:val="auto"/>
        </w:rPr>
      </w:pPr>
      <w:r>
        <w:rPr>
          <w:rFonts w:ascii="Times New Roman" w:cs="Times New Roman" w:eastAsia="Times New Roman" w:hAnsi="Times New Roman"/>
          <w:sz w:val="18"/>
          <w:szCs w:val="18"/>
          <w:color w:val="auto"/>
        </w:rPr>
        <w:t>free search engine results and that paid search marketing efforts are cost-effective, as well as the ability to respond to changes in the usage and functioning of search engines and the introduction of new technology;</w:t>
      </w:r>
    </w:p>
    <w:p>
      <w:pPr>
        <w:spacing w:after="0" w:line="203" w:lineRule="exact"/>
        <w:rPr>
          <w:sz w:val="20"/>
          <w:szCs w:val="20"/>
          <w:color w:val="auto"/>
        </w:rPr>
      </w:pPr>
    </w:p>
    <w:p>
      <w:pPr>
        <w:ind w:left="660" w:right="400" w:hanging="328"/>
        <w:spacing w:after="0" w:line="227" w:lineRule="auto"/>
        <w:tabs>
          <w:tab w:leader="none" w:pos="655"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the ability to increasingly engage with consumers directly through Angi platforms, including various mobile applications (rather than through search engine marketing or via free search engine referrals); and</w:t>
      </w:r>
    </w:p>
    <w:p>
      <w:pPr>
        <w:spacing w:after="0" w:line="226" w:lineRule="exact"/>
        <w:rPr>
          <w:rFonts w:ascii="Arial" w:cs="Arial" w:eastAsia="Arial" w:hAnsi="Arial"/>
          <w:sz w:val="22"/>
          <w:szCs w:val="22"/>
          <w:color w:val="auto"/>
        </w:rPr>
      </w:pPr>
    </w:p>
    <w:p>
      <w:pPr>
        <w:ind w:left="660" w:right="620" w:hanging="328"/>
        <w:spacing w:after="0" w:line="227" w:lineRule="auto"/>
        <w:tabs>
          <w:tab w:leader="none" w:pos="655"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quality and consistency of professional pre-screening processes and ongoing quality control efforts, as well as the reliability, depth and timeliness of customer ratings and reviews.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Care.com</w:t>
      </w:r>
    </w:p>
    <w:p>
      <w:pPr>
        <w:spacing w:after="0" w:line="19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ind w:right="80" w:firstLine="405"/>
        <w:spacing w:after="0" w:line="282" w:lineRule="auto"/>
        <w:rPr>
          <w:sz w:val="20"/>
          <w:szCs w:val="20"/>
          <w:color w:val="auto"/>
        </w:rPr>
      </w:pPr>
      <w:r>
        <w:rPr>
          <w:rFonts w:ascii="Times New Roman" w:cs="Times New Roman" w:eastAsia="Times New Roman" w:hAnsi="Times New Roman"/>
          <w:sz w:val="18"/>
          <w:szCs w:val="18"/>
          <w:color w:val="auto"/>
        </w:rPr>
        <w:t xml:space="preserve">Care.com is a leading online destination for families to connect with caregivers for their children, aging parents, pets and homes and for caregivers to connect with families seeking care services. Care.com’s brands include </w:t>
      </w:r>
      <w:r>
        <w:rPr>
          <w:rFonts w:ascii="Times New Roman" w:cs="Times New Roman" w:eastAsia="Times New Roman" w:hAnsi="Times New Roman"/>
          <w:sz w:val="18"/>
          <w:szCs w:val="18"/>
          <w:i w:val="1"/>
          <w:iCs w:val="1"/>
          <w:color w:val="auto"/>
        </w:rPr>
        <w:t>Care For Business</w:t>
      </w:r>
      <w:r>
        <w:rPr>
          <w:rFonts w:ascii="Times New Roman" w:cs="Times New Roman" w:eastAsia="Times New Roman" w:hAnsi="Times New Roman"/>
          <w:sz w:val="18"/>
          <w:szCs w:val="18"/>
          <w:color w:val="auto"/>
        </w:rPr>
        <w:t xml:space="preserve">, Care.com offerings to enterprises and </w:t>
      </w:r>
      <w:r>
        <w:rPr>
          <w:rFonts w:ascii="Times New Roman" w:cs="Times New Roman" w:eastAsia="Times New Roman" w:hAnsi="Times New Roman"/>
          <w:sz w:val="18"/>
          <w:szCs w:val="18"/>
          <w:i w:val="1"/>
          <w:iCs w:val="1"/>
          <w:color w:val="auto"/>
        </w:rPr>
        <w:t>HomePay</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Services</w:t>
      </w:r>
    </w:p>
    <w:p>
      <w:pPr>
        <w:spacing w:after="0" w:line="216" w:lineRule="exact"/>
        <w:rPr>
          <w:sz w:val="20"/>
          <w:szCs w:val="20"/>
          <w:color w:val="auto"/>
        </w:rPr>
      </w:pPr>
    </w:p>
    <w:p>
      <w:pPr>
        <w:ind w:right="300" w:firstLine="360"/>
        <w:spacing w:after="0" w:line="266" w:lineRule="auto"/>
        <w:rPr>
          <w:sz w:val="20"/>
          <w:szCs w:val="20"/>
          <w:color w:val="auto"/>
        </w:rPr>
      </w:pPr>
      <w:r>
        <w:rPr>
          <w:rFonts w:ascii="Times New Roman" w:cs="Times New Roman" w:eastAsia="Times New Roman" w:hAnsi="Times New Roman"/>
          <w:sz w:val="18"/>
          <w:szCs w:val="18"/>
          <w:color w:val="auto"/>
        </w:rPr>
        <w:t>Care.com primarily provides online consumer matching and, in some cases, consumer payment solutions for families searching for care, as well as enterprise solutions for employers seeking to provide care-related benefits to their employees.</w:t>
      </w:r>
    </w:p>
    <w:p>
      <w:pPr>
        <w:spacing w:after="0" w:line="200" w:lineRule="exact"/>
        <w:rPr>
          <w:sz w:val="20"/>
          <w:szCs w:val="20"/>
          <w:color w:val="auto"/>
        </w:rPr>
      </w:pPr>
    </w:p>
    <w:p>
      <w:pPr>
        <w:spacing w:after="0" w:line="217" w:lineRule="exact"/>
        <w:rPr>
          <w:sz w:val="20"/>
          <w:szCs w:val="20"/>
          <w:color w:val="auto"/>
        </w:rPr>
      </w:pPr>
    </w:p>
    <w:p>
      <w:pPr>
        <w:ind w:right="40" w:firstLine="360"/>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Consumer matching solutions. </w:t>
      </w:r>
      <w:r>
        <w:rPr>
          <w:rFonts w:ascii="Times New Roman" w:cs="Times New Roman" w:eastAsia="Times New Roman" w:hAnsi="Times New Roman"/>
          <w:sz w:val="18"/>
          <w:szCs w:val="18"/>
          <w:color w:val="auto"/>
        </w:rPr>
        <w:t>Through free and paid memberships, Care.com offers a variety of resources designed to help families match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suitable care solutions. A free basic membership provides families with the ability to set up an account, post a job, search and review caregiver profiles and receive applications from background-checked caregivers. To engage with caregivers, families must upgrade to a paid premium membership, which includes all basic membership features, plus the ability to contact caregivers to schedule interviews, purchase additional background checks, reply to applications and messages from caregivers and access certain promotions and discounts. In addition, where available, families can book caregivers for certain care services directly through the platform for a fee and make electronic payments to caregivers through a related payment solution.</w:t>
      </w:r>
    </w:p>
    <w:p>
      <w:pPr>
        <w:spacing w:after="0" w:line="195" w:lineRule="exact"/>
        <w:rPr>
          <w:sz w:val="20"/>
          <w:szCs w:val="20"/>
          <w:color w:val="auto"/>
        </w:rPr>
      </w:pPr>
    </w:p>
    <w:p>
      <w:pPr>
        <w:ind w:firstLine="360"/>
        <w:spacing w:after="0" w:line="244" w:lineRule="auto"/>
        <w:rPr>
          <w:sz w:val="20"/>
          <w:szCs w:val="20"/>
          <w:color w:val="auto"/>
        </w:rPr>
      </w:pPr>
      <w:r>
        <w:rPr>
          <w:rFonts w:ascii="Times New Roman" w:cs="Times New Roman" w:eastAsia="Times New Roman" w:hAnsi="Times New Roman"/>
          <w:sz w:val="18"/>
          <w:szCs w:val="18"/>
          <w:color w:val="auto"/>
        </w:rPr>
        <w:t xml:space="preserve">Through consumer matching services, families can match with caregivers (in-home and out-of-home) who meet their diverse and evolving care needs (full-time, part-time, long-term, short-term and occasional at irregular intervals). Matching is facilitated by algorithms designed to highlight relevant caregivers (based on certain job requirements and caregiver activity patterns). In-home caregivers create and post detailed Care.com profiles that may include photos, bios, work histories, ratings and reviews, the type of care they primarily provide, their experience, certifications and qualifications, and their availability, hourly rate and payment details, among other information. Before caregivers can communicate directly with families seeking care, they must complete a background check (conducted by a third-party consumer reporting agency). Care.com also offers families and caregivers the ability to purchase multiple levels of additional background check options through a third-party consumer reporting agency. While Care.com strongly believes that </w:t>
      </w:r>
      <w:r>
        <w:rPr>
          <w:rFonts w:ascii="Times New Roman" w:cs="Times New Roman" w:eastAsia="Times New Roman" w:hAnsi="Times New Roman"/>
          <w:sz w:val="18"/>
          <w:szCs w:val="18"/>
          <w:i w:val="1"/>
          <w:iCs w:val="1"/>
          <w:color w:val="auto"/>
        </w:rPr>
        <w:t xml:space="preserve">CareCheck </w:t>
      </w:r>
      <w:r>
        <w:rPr>
          <w:rFonts w:ascii="Times New Roman" w:cs="Times New Roman" w:eastAsia="Times New Roman" w:hAnsi="Times New Roman"/>
          <w:sz w:val="18"/>
          <w:szCs w:val="18"/>
          <w:color w:val="auto"/>
        </w:rPr>
        <w:t>and the additional background checks are good safety measures, they have limitations and cannot guarantee the future behavior of any caregiver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affiliated with Care.com.</w:t>
      </w:r>
    </w:p>
    <w:p>
      <w:pPr>
        <w:spacing w:after="0" w:line="197"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 xml:space="preserve">Care.com also maintains a </w:t>
      </w:r>
      <w:r>
        <w:rPr>
          <w:rFonts w:ascii="Times New Roman" w:cs="Times New Roman" w:eastAsia="Times New Roman" w:hAnsi="Times New Roman"/>
          <w:sz w:val="18"/>
          <w:szCs w:val="18"/>
          <w:i w:val="1"/>
          <w:iCs w:val="1"/>
          <w:color w:val="auto"/>
        </w:rPr>
        <w:t>Safety Center</w:t>
      </w:r>
      <w:r>
        <w:rPr>
          <w:rFonts w:ascii="Times New Roman" w:cs="Times New Roman" w:eastAsia="Times New Roman" w:hAnsi="Times New Roman"/>
          <w:sz w:val="18"/>
          <w:szCs w:val="18"/>
          <w:color w:val="auto"/>
        </w:rPr>
        <w:t xml:space="preserve"> that provides resources and information designed to help families and caregivers make safer and more</w:t>
      </w:r>
    </w:p>
    <w:p>
      <w:pPr>
        <w:spacing w:after="0" w:line="18"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color w:val="auto"/>
        </w:rPr>
        <w:t>informed hiring and job selection decisions, including recommendations for screening, interviewing and the ongoing monitoring of caregivers, as well as recommendations to caregivers for avoiding scams. Care.com also encourages members and caregivers to contact Care.com if they believe another member or caregiver may have violated Care.com's community guidelines.</w:t>
      </w:r>
    </w:p>
    <w:p>
      <w:pPr>
        <w:spacing w:after="0" w:line="181" w:lineRule="exact"/>
        <w:rPr>
          <w:sz w:val="20"/>
          <w:szCs w:val="20"/>
          <w:color w:val="auto"/>
        </w:rPr>
      </w:pPr>
    </w:p>
    <w:p>
      <w:pPr>
        <w:ind w:right="160" w:firstLine="360"/>
        <w:spacing w:after="0" w:line="282" w:lineRule="auto"/>
        <w:rPr>
          <w:sz w:val="20"/>
          <w:szCs w:val="20"/>
          <w:color w:val="auto"/>
        </w:rPr>
      </w:pPr>
      <w:r>
        <w:rPr>
          <w:rFonts w:ascii="Times New Roman" w:cs="Times New Roman" w:eastAsia="Times New Roman" w:hAnsi="Times New Roman"/>
          <w:sz w:val="18"/>
          <w:szCs w:val="18"/>
          <w:color w:val="auto"/>
        </w:rPr>
        <w:t>Out-of-home care-related businesses (such as daycare centers, senior care communities, tutoring companies, camps and activities providers) can also market their services through Care.com.</w:t>
      </w:r>
    </w:p>
    <w:p>
      <w:pPr>
        <w:spacing w:after="0" w:line="146" w:lineRule="exact"/>
        <w:rPr>
          <w:sz w:val="20"/>
          <w:szCs w:val="20"/>
          <w:color w:val="auto"/>
        </w:rPr>
      </w:pPr>
    </w:p>
    <w:p>
      <w:pPr>
        <w:ind w:right="20" w:firstLine="360"/>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Consumer tax and payment solutions. </w:t>
      </w:r>
      <w:r>
        <w:rPr>
          <w:rFonts w:ascii="Times New Roman" w:cs="Times New Roman" w:eastAsia="Times New Roman" w:hAnsi="Times New Roman"/>
          <w:sz w:val="18"/>
          <w:szCs w:val="18"/>
          <w:color w:val="auto"/>
        </w:rPr>
        <w:t>Through Care.com, we also offer our</w:t>
      </w:r>
      <w:r>
        <w:rPr>
          <w:rFonts w:ascii="Times New Roman" w:cs="Times New Roman" w:eastAsia="Times New Roman" w:hAnsi="Times New Roman"/>
          <w:sz w:val="18"/>
          <w:szCs w:val="18"/>
          <w:i w:val="1"/>
          <w:iCs w:val="1"/>
          <w:color w:val="auto"/>
        </w:rPr>
        <w:t xml:space="preserve"> HomePay </w:t>
      </w:r>
      <w:r>
        <w:rPr>
          <w:rFonts w:ascii="Times New Roman" w:cs="Times New Roman" w:eastAsia="Times New Roman" w:hAnsi="Times New Roman"/>
          <w:sz w:val="18"/>
          <w:szCs w:val="18"/>
          <w:color w:val="auto"/>
        </w:rPr>
        <w:t>service, a leading tax and payroll product for families who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employ nannies, housekeepers or other domestic employees. </w:t>
      </w:r>
      <w:r>
        <w:rPr>
          <w:rFonts w:ascii="Times New Roman" w:cs="Times New Roman" w:eastAsia="Times New Roman" w:hAnsi="Times New Roman"/>
          <w:sz w:val="18"/>
          <w:szCs w:val="18"/>
          <w:i w:val="1"/>
          <w:iCs w:val="1"/>
          <w:color w:val="auto"/>
        </w:rPr>
        <w:t>HomePay</w:t>
      </w:r>
      <w:r>
        <w:rPr>
          <w:rFonts w:ascii="Times New Roman" w:cs="Times New Roman" w:eastAsia="Times New Roman" w:hAnsi="Times New Roman"/>
          <w:sz w:val="18"/>
          <w:szCs w:val="18"/>
          <w:color w:val="auto"/>
        </w:rPr>
        <w:t xml:space="preserve"> is a technology-based, turnkey service that provides household employer-related tax filings at the federal, state and local levels for families who are required to treat their caregivers as household employees and such caregivers' wages exceed the annual reportable threshold amount that would require them to make tax filings. Facilitating household employer-related tax filings helps to ensure that families are able to avail themselves of certain tax credits and savings, which can help mitigate care-related costs. The services also include automated payroll processing ancillary to those tax services. Similarly, caregivers who are paid legally can more easily access a</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 w:name="page14"/>
    <w:bookmarkEnd w:id="13"/>
    <w:p>
      <w:pPr>
        <w:ind w:right="340"/>
        <w:spacing w:after="0" w:line="268" w:lineRule="auto"/>
        <w:rPr>
          <w:sz w:val="20"/>
          <w:szCs w:val="20"/>
          <w:color w:val="auto"/>
        </w:rPr>
      </w:pPr>
      <w:r>
        <w:rPr>
          <w:rFonts w:ascii="Times New Roman" w:cs="Times New Roman" w:eastAsia="Times New Roman" w:hAnsi="Times New Roman"/>
          <w:sz w:val="18"/>
          <w:szCs w:val="18"/>
          <w:color w:val="auto"/>
        </w:rPr>
        <w:t xml:space="preserve">variety of benefits, including unemployment insurance and social security benefits (among others). </w:t>
      </w:r>
      <w:r>
        <w:rPr>
          <w:rFonts w:ascii="Times New Roman" w:cs="Times New Roman" w:eastAsia="Times New Roman" w:hAnsi="Times New Roman"/>
          <w:sz w:val="18"/>
          <w:szCs w:val="18"/>
          <w:i w:val="1"/>
          <w:iCs w:val="1"/>
          <w:color w:val="auto"/>
        </w:rPr>
        <w:t>HomePay</w:t>
      </w:r>
      <w:r>
        <w:rPr>
          <w:rFonts w:ascii="Times New Roman" w:cs="Times New Roman" w:eastAsia="Times New Roman" w:hAnsi="Times New Roman"/>
          <w:sz w:val="18"/>
          <w:szCs w:val="18"/>
          <w:color w:val="auto"/>
        </w:rPr>
        <w:t xml:space="preserve"> is available to anyone (not just Care.com members) for a fee.</w:t>
      </w:r>
    </w:p>
    <w:p>
      <w:pPr>
        <w:spacing w:after="0" w:line="172" w:lineRule="exact"/>
        <w:rPr>
          <w:sz w:val="20"/>
          <w:szCs w:val="20"/>
          <w:color w:val="auto"/>
        </w:rPr>
      </w:pPr>
    </w:p>
    <w:p>
      <w:pPr>
        <w:ind w:right="380" w:firstLine="360"/>
        <w:spacing w:after="0" w:line="268" w:lineRule="auto"/>
        <w:rPr>
          <w:sz w:val="20"/>
          <w:szCs w:val="20"/>
          <w:color w:val="auto"/>
        </w:rPr>
      </w:pPr>
      <w:r>
        <w:rPr>
          <w:rFonts w:ascii="Times New Roman" w:cs="Times New Roman" w:eastAsia="Times New Roman" w:hAnsi="Times New Roman"/>
          <w:sz w:val="18"/>
          <w:szCs w:val="18"/>
          <w:i w:val="1"/>
          <w:iCs w:val="1"/>
          <w:color w:val="auto"/>
        </w:rPr>
        <w:t>Enterprise solutions</w:t>
      </w:r>
      <w:r>
        <w:rPr>
          <w:rFonts w:ascii="Times New Roman" w:cs="Times New Roman" w:eastAsia="Times New Roman" w:hAnsi="Times New Roman"/>
          <w:sz w:val="18"/>
          <w:szCs w:val="18"/>
          <w:color w:val="auto"/>
        </w:rPr>
        <w:t>. Care.com also offers a comprehensive suite of family caregiving benefits and related services that employers can offer as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 benefit. Currently, employers can choose from a number of services, including:</w:t>
      </w:r>
    </w:p>
    <w:p>
      <w:pPr>
        <w:spacing w:after="0" w:line="161"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matching solutions;</w:t>
      </w:r>
    </w:p>
    <w:p>
      <w:pPr>
        <w:spacing w:after="0" w:line="225" w:lineRule="exact"/>
        <w:rPr>
          <w:rFonts w:ascii="Times New Roman" w:cs="Times New Roman" w:eastAsia="Times New Roman" w:hAnsi="Times New Roman"/>
          <w:sz w:val="18"/>
          <w:szCs w:val="18"/>
          <w:color w:val="auto"/>
        </w:rPr>
      </w:pPr>
    </w:p>
    <w:p>
      <w:pPr>
        <w:ind w:left="660" w:right="22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back-up care services (in-home and in-center) for employees who need alternative care arrangements for their child or senior when their regular caregiver is not available (for example, due to a school closure or caregiver illness);</w:t>
      </w:r>
    </w:p>
    <w:p>
      <w:pPr>
        <w:spacing w:after="0" w:line="16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on-demand tutoring and college admissions counseling (</w:t>
      </w:r>
      <w:r>
        <w:rPr>
          <w:rFonts w:ascii="Times New Roman" w:cs="Times New Roman" w:eastAsia="Times New Roman" w:hAnsi="Times New Roman"/>
          <w:sz w:val="18"/>
          <w:szCs w:val="18"/>
          <w:i w:val="1"/>
          <w:iCs w:val="1"/>
          <w:color w:val="auto"/>
        </w:rPr>
        <w:t>Care for College</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660" w:right="260" w:hanging="328"/>
        <w:spacing w:after="0" w:line="272" w:lineRule="auto"/>
        <w:tabs>
          <w:tab w:leader="none" w:pos="65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access to consultation and referral services to support a wide array of work-life challenges faced by employees, such as senior care planning services to help employees find the most suitable care option for aging family members, access to mental health experts and resources, tutoring and college prep assistance, lactation support, relocation services and financial guidance and legal services (among other services); and</w:t>
      </w:r>
    </w:p>
    <w:p>
      <w:pPr>
        <w:spacing w:after="0" w:line="172"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proprietary, members-only discounts on certain nationally recognized brand-name products and services.</w:t>
      </w:r>
    </w:p>
    <w:p>
      <w:pPr>
        <w:spacing w:after="0" w:line="212" w:lineRule="exact"/>
        <w:rPr>
          <w:sz w:val="20"/>
          <w:szCs w:val="20"/>
          <w:color w:val="auto"/>
        </w:rPr>
      </w:pPr>
    </w:p>
    <w:p>
      <w:pPr>
        <w:ind w:right="140" w:firstLine="360"/>
        <w:spacing w:after="0" w:line="250" w:lineRule="auto"/>
        <w:rPr>
          <w:sz w:val="20"/>
          <w:szCs w:val="20"/>
          <w:color w:val="auto"/>
        </w:rPr>
      </w:pPr>
      <w:r>
        <w:rPr>
          <w:rFonts w:ascii="Times New Roman" w:cs="Times New Roman" w:eastAsia="Times New Roman" w:hAnsi="Times New Roman"/>
          <w:sz w:val="18"/>
          <w:szCs w:val="18"/>
          <w:color w:val="auto"/>
        </w:rPr>
        <w:t>Employers generally pay for enterprise solutions on a per-employee, per-year basis. These solutions also provide employers with features that allow them to manage employee access and track aggregate usage. Depending on the suite of services selected and employer preferences, employers may subsidize all, a portion or none of the cost of these solutions for employees. Additionally, employers may add services during the term of their contract on an as-needed basis to enhance the support they provide to their employees.</w:t>
      </w:r>
    </w:p>
    <w:p>
      <w:pPr>
        <w:spacing w:after="0" w:line="17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56" w:lineRule="exact"/>
        <w:rPr>
          <w:sz w:val="20"/>
          <w:szCs w:val="20"/>
          <w:color w:val="auto"/>
        </w:rPr>
      </w:pPr>
    </w:p>
    <w:p>
      <w:pPr>
        <w:ind w:firstLine="360"/>
        <w:spacing w:after="0" w:line="250" w:lineRule="auto"/>
        <w:rPr>
          <w:sz w:val="20"/>
          <w:szCs w:val="20"/>
          <w:color w:val="auto"/>
        </w:rPr>
      </w:pPr>
      <w:r>
        <w:rPr>
          <w:rFonts w:ascii="Times New Roman" w:cs="Times New Roman" w:eastAsia="Times New Roman" w:hAnsi="Times New Roman"/>
          <w:sz w:val="18"/>
          <w:szCs w:val="18"/>
          <w:color w:val="auto"/>
        </w:rPr>
        <w:t>Care.com revenue consists of consumer and enterprise revenue. Consumer revenue is primarily generated through subscription fees from families and caregivers, both domestically and internationally, for Care.com's suite of products and services. Consumer revenue also includes revenue generated through Care.com's comprehensive household payroll and tax support services (</w:t>
      </w:r>
      <w:r>
        <w:rPr>
          <w:rFonts w:ascii="Times New Roman" w:cs="Times New Roman" w:eastAsia="Times New Roman" w:hAnsi="Times New Roman"/>
          <w:sz w:val="18"/>
          <w:szCs w:val="18"/>
          <w:i w:val="1"/>
          <w:iCs w:val="1"/>
          <w:color w:val="auto"/>
        </w:rPr>
        <w:t>HomePay</w:t>
      </w:r>
      <w:r>
        <w:rPr>
          <w:rFonts w:ascii="Times New Roman" w:cs="Times New Roman" w:eastAsia="Times New Roman" w:hAnsi="Times New Roman"/>
          <w:sz w:val="18"/>
          <w:szCs w:val="18"/>
          <w:color w:val="auto"/>
        </w:rPr>
        <w:t>), as well as through contracts with businesses that advertise through Care.com platforms. Enterprise revenue is primarily generated through annual contracts with businesses (employers or re-sellers) that provide access to Care.com’s suite of products and services as an employee benefit.</w:t>
      </w:r>
    </w:p>
    <w:p>
      <w:pPr>
        <w:spacing w:after="0" w:line="17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Marketing</w:t>
      </w:r>
    </w:p>
    <w:p>
      <w:pPr>
        <w:spacing w:after="0" w:line="243" w:lineRule="exact"/>
        <w:rPr>
          <w:sz w:val="20"/>
          <w:szCs w:val="20"/>
          <w:color w:val="auto"/>
        </w:rPr>
      </w:pPr>
    </w:p>
    <w:p>
      <w:pPr>
        <w:ind w:right="260" w:firstLine="252"/>
        <w:spacing w:after="0" w:line="250" w:lineRule="auto"/>
        <w:rPr>
          <w:sz w:val="20"/>
          <w:szCs w:val="20"/>
          <w:color w:val="auto"/>
        </w:rPr>
      </w:pPr>
      <w:r>
        <w:rPr>
          <w:rFonts w:ascii="Times New Roman" w:cs="Times New Roman" w:eastAsia="Times New Roman" w:hAnsi="Times New Roman"/>
          <w:sz w:val="18"/>
          <w:szCs w:val="18"/>
          <w:color w:val="auto"/>
        </w:rPr>
        <w:t>Care.com markets its various products and services to families and caregivers through a diverse mix of free and paid offline and online marketing. Care.com believes that most families and caregivers currently find Care.com through unpaid marketing channels (primarily through word-of-mouth, referrals and online communities and forums), as well as through search engine marketing (free and paid) and repeat users. Paid direct marketing efforts include offline channels, such as network and cable TV, OTT channels and direct mail, as well as through paid search engine marketing, social media advertising, influencer marketing, display advertising, third-party affiliate agreements and select paid job board sites. In addition, Care.com markets its employee-benefit product offerings directly to enterprises through brokers and its own sales team.</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256" w:lineRule="exact"/>
        <w:rPr>
          <w:sz w:val="20"/>
          <w:szCs w:val="20"/>
          <w:color w:val="auto"/>
        </w:rPr>
      </w:pPr>
    </w:p>
    <w:p>
      <w:pPr>
        <w:ind w:right="80" w:firstLine="252"/>
        <w:spacing w:after="0" w:line="243" w:lineRule="auto"/>
        <w:rPr>
          <w:sz w:val="20"/>
          <w:szCs w:val="20"/>
          <w:color w:val="auto"/>
        </w:rPr>
      </w:pPr>
      <w:r>
        <w:rPr>
          <w:rFonts w:ascii="Times New Roman" w:cs="Times New Roman" w:eastAsia="Times New Roman" w:hAnsi="Times New Roman"/>
          <w:sz w:val="18"/>
          <w:szCs w:val="18"/>
          <w:color w:val="auto"/>
        </w:rPr>
        <w:t xml:space="preserve">In the case of consumer matching solutions, Care.com primarily competes with traditional offline consumer resources for finding caregivers, as well as online job boards and other online care marketplaces, and online care-related platforms in vertical categories. We believe Care.com’s biggest competition comes from the traditional offline methods, such as word-of-mouth, referrals and online communities and forums. In the case of </w:t>
      </w:r>
      <w:r>
        <w:rPr>
          <w:rFonts w:ascii="Times New Roman" w:cs="Times New Roman" w:eastAsia="Times New Roman" w:hAnsi="Times New Roman"/>
          <w:sz w:val="18"/>
          <w:szCs w:val="18"/>
          <w:i w:val="1"/>
          <w:iCs w:val="1"/>
          <w:color w:val="auto"/>
        </w:rPr>
        <w:t>HomePay</w:t>
      </w:r>
      <w:r>
        <w:rPr>
          <w:rFonts w:ascii="Times New Roman" w:cs="Times New Roman" w:eastAsia="Times New Roman" w:hAnsi="Times New Roman"/>
          <w:sz w:val="18"/>
          <w:szCs w:val="18"/>
          <w:color w:val="auto"/>
        </w:rPr>
        <w:t>, Care.com primarily competes with similar products offered by providers of online and offline payroll services. In the case of its enterprise solutions business, Care.com primarily competes with other providers of employer-sponsored care services and employee benefit products, particularly those that provide back-up child and senior care services.</w:t>
      </w:r>
    </w:p>
    <w:p>
      <w:pPr>
        <w:spacing w:after="0" w:line="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believe that Care.com’s ability to compete successfully will depend primarily upon the following factors:</w:t>
      </w:r>
    </w:p>
    <w:p>
      <w:pPr>
        <w:spacing w:after="0" w:line="232" w:lineRule="exact"/>
        <w:rPr>
          <w:sz w:val="20"/>
          <w:szCs w:val="20"/>
          <w:color w:val="auto"/>
        </w:rPr>
      </w:pPr>
    </w:p>
    <w:p>
      <w:pPr>
        <w:ind w:left="5540" w:right="3620" w:hanging="5208"/>
        <w:spacing w:after="0" w:line="907" w:lineRule="auto"/>
        <w:tabs>
          <w:tab w:leader="none" w:pos="657" w:val="left"/>
        </w:tabs>
        <w:numPr>
          <w:ilvl w:val="0"/>
          <w:numId w:val="8"/>
        </w:numPr>
        <w:rPr>
          <w:rFonts w:ascii="Arial" w:cs="Arial" w:eastAsia="Arial" w:hAnsi="Arial"/>
          <w:sz w:val="18"/>
          <w:szCs w:val="18"/>
          <w:color w:val="auto"/>
        </w:rPr>
      </w:pPr>
      <w:r>
        <w:rPr>
          <w:rFonts w:ascii="Times New Roman" w:cs="Times New Roman" w:eastAsia="Times New Roman" w:hAnsi="Times New Roman"/>
          <w:sz w:val="18"/>
          <w:szCs w:val="18"/>
          <w:color w:val="auto"/>
        </w:rPr>
        <w:t>the volume, quality, diversity and stability of the families and caregivers on Care.com platforms;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-309880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5" w:right="359" w:bottom="1440" w:gutter="0" w:footer="0" w:header="0"/>
        </w:sectPr>
      </w:pPr>
    </w:p>
    <w:bookmarkStart w:id="14" w:name="page15"/>
    <w:bookmarkEnd w:id="14"/>
    <w:p>
      <w:pPr>
        <w:ind w:left="660" w:right="440" w:hanging="328"/>
        <w:spacing w:after="0" w:line="253" w:lineRule="auto"/>
        <w:tabs>
          <w:tab w:leader="none" w:pos="6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functionality and reliability of Care.com websites and mobile applications and the attractiveness of their features (and Care.com’s various products and services) generally to families and caregivers;</w:t>
      </w:r>
    </w:p>
    <w:p>
      <w:pPr>
        <w:ind w:left="620" w:hanging="288"/>
        <w:spacing w:after="0" w:line="236" w:lineRule="auto"/>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increase the frequency of family and caregiver use of Care.com products and services generally;</w:t>
      </w:r>
    </w:p>
    <w:p>
      <w:pPr>
        <w:ind w:left="620" w:hanging="288"/>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ability to innovate and introduce new products and services that resonate with families and caregivers;</w:t>
      </w:r>
    </w:p>
    <w:p>
      <w:pPr>
        <w:spacing w:after="0" w:line="7" w:lineRule="exact"/>
        <w:rPr>
          <w:rFonts w:ascii="Times New Roman" w:cs="Times New Roman" w:eastAsia="Times New Roman" w:hAnsi="Times New Roman"/>
          <w:sz w:val="18"/>
          <w:szCs w:val="18"/>
          <w:color w:val="auto"/>
        </w:rPr>
      </w:pPr>
    </w:p>
    <w:p>
      <w:pPr>
        <w:ind w:left="620" w:hanging="288"/>
        <w:spacing w:after="0" w:line="236" w:lineRule="auto"/>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completeness and consistency of caregiver profiles and job postings;</w:t>
      </w:r>
    </w:p>
    <w:p>
      <w:pPr>
        <w:ind w:left="620" w:hanging="288"/>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reliability of background checks and other safety measures designed to prevent safety incidents;</w:t>
      </w:r>
    </w:p>
    <w:p>
      <w:pPr>
        <w:spacing w:after="0" w:line="7" w:lineRule="exact"/>
        <w:rPr>
          <w:rFonts w:ascii="Times New Roman" w:cs="Times New Roman" w:eastAsia="Times New Roman" w:hAnsi="Times New Roman"/>
          <w:sz w:val="18"/>
          <w:szCs w:val="18"/>
          <w:color w:val="auto"/>
        </w:rPr>
      </w:pPr>
    </w:p>
    <w:p>
      <w:pPr>
        <w:ind w:left="620" w:hanging="288"/>
        <w:spacing w:after="0" w:line="236" w:lineRule="auto"/>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continue to build and maintain awareness of, trust in, and loyalty to, the Care.com brand;</w:t>
      </w:r>
    </w:p>
    <w:p>
      <w:pPr>
        <w:ind w:left="620" w:hanging="288"/>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continue to expand the enterprise solutions business; and</w:t>
      </w:r>
    </w:p>
    <w:p>
      <w:pPr>
        <w:spacing w:after="0" w:line="7" w:lineRule="exact"/>
        <w:rPr>
          <w:rFonts w:ascii="Times New Roman" w:cs="Times New Roman" w:eastAsia="Times New Roman" w:hAnsi="Times New Roman"/>
          <w:sz w:val="18"/>
          <w:szCs w:val="18"/>
          <w:color w:val="auto"/>
        </w:rPr>
      </w:pPr>
    </w:p>
    <w:p>
      <w:pPr>
        <w:ind w:left="660" w:right="80" w:hanging="328"/>
        <w:spacing w:after="0" w:line="247" w:lineRule="auto"/>
        <w:tabs>
          <w:tab w:leader="none" w:pos="6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continue to attract (and increase) traffic to Care.com platforms through search engines, including the ability to ensure that links to Care.com platforms are displayed prominently in free search engine results and that paid search marketing efforts are cost-effective, as well as the ability to respond to changes in the usage and functioning of search engines and the introduction of new technology.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Search</w:t>
      </w:r>
    </w:p>
    <w:p>
      <w:pPr>
        <w:spacing w:after="0" w:line="21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16" w:lineRule="exact"/>
        <w:rPr>
          <w:sz w:val="20"/>
          <w:szCs w:val="20"/>
          <w:color w:val="auto"/>
        </w:rPr>
      </w:pPr>
    </w:p>
    <w:p>
      <w:pPr>
        <w:ind w:firstLine="360"/>
        <w:spacing w:after="0" w:line="237" w:lineRule="auto"/>
        <w:rPr>
          <w:sz w:val="20"/>
          <w:szCs w:val="20"/>
          <w:color w:val="auto"/>
        </w:rPr>
      </w:pPr>
      <w:r>
        <w:rPr>
          <w:rFonts w:ascii="Times New Roman" w:cs="Times New Roman" w:eastAsia="Times New Roman" w:hAnsi="Times New Roman"/>
          <w:sz w:val="18"/>
          <w:szCs w:val="18"/>
          <w:color w:val="auto"/>
        </w:rPr>
        <w:t xml:space="preserve">Our Search segment consists of Ask Media Group, a collection of websites providing general search services and information, and a Desktop business, which includes business-to-business partnership operations and the remaining installed base of our legacy direct-to-consumer downloadable desktop applications. Ask Media Group’s websites include, among others: </w:t>
      </w:r>
      <w:r>
        <w:rPr>
          <w:rFonts w:ascii="Times New Roman" w:cs="Times New Roman" w:eastAsia="Times New Roman" w:hAnsi="Times New Roman"/>
          <w:sz w:val="18"/>
          <w:szCs w:val="18"/>
          <w:i w:val="1"/>
          <w:iCs w:val="1"/>
          <w:color w:val="auto"/>
        </w:rPr>
        <w:t>Ask.com</w:t>
      </w:r>
      <w:r>
        <w:rPr>
          <w:rFonts w:ascii="Times New Roman" w:cs="Times New Roman" w:eastAsia="Times New Roman" w:hAnsi="Times New Roman"/>
          <w:sz w:val="18"/>
          <w:szCs w:val="18"/>
          <w:color w:val="auto"/>
        </w:rPr>
        <w:t xml:space="preserve">, a search site with a variety of fresh and contemporary content (celebrities, culture, entertainment, travel and general knowledge); </w:t>
      </w:r>
      <w:r>
        <w:rPr>
          <w:rFonts w:ascii="Times New Roman" w:cs="Times New Roman" w:eastAsia="Times New Roman" w:hAnsi="Times New Roman"/>
          <w:sz w:val="18"/>
          <w:szCs w:val="18"/>
          <w:i w:val="1"/>
          <w:iCs w:val="1"/>
          <w:color w:val="auto"/>
        </w:rPr>
        <w:t>Reference.com</w:t>
      </w:r>
      <w:r>
        <w:rPr>
          <w:rFonts w:ascii="Times New Roman" w:cs="Times New Roman" w:eastAsia="Times New Roman" w:hAnsi="Times New Roman"/>
          <w:sz w:val="18"/>
          <w:szCs w:val="18"/>
          <w:color w:val="auto"/>
        </w:rPr>
        <w:t xml:space="preserve">, a search and general knowledge content site that provides content across select vertical categories (history, business and finance and geography, among other verticals); </w:t>
      </w:r>
      <w:r>
        <w:rPr>
          <w:rFonts w:ascii="Times New Roman" w:cs="Times New Roman" w:eastAsia="Times New Roman" w:hAnsi="Times New Roman"/>
          <w:sz w:val="18"/>
          <w:szCs w:val="18"/>
          <w:i w:val="1"/>
          <w:iCs w:val="1"/>
          <w:color w:val="auto"/>
        </w:rPr>
        <w:t>Consumersearch.com</w:t>
      </w:r>
      <w:r>
        <w:rPr>
          <w:rFonts w:ascii="Times New Roman" w:cs="Times New Roman" w:eastAsia="Times New Roman" w:hAnsi="Times New Roman"/>
          <w:sz w:val="18"/>
          <w:szCs w:val="18"/>
          <w:color w:val="auto"/>
        </w:rPr>
        <w:t xml:space="preserve">, a search and content website that provides content designed to simplify the product research process; and </w:t>
      </w:r>
      <w:r>
        <w:rPr>
          <w:rFonts w:ascii="Times New Roman" w:cs="Times New Roman" w:eastAsia="Times New Roman" w:hAnsi="Times New Roman"/>
          <w:sz w:val="18"/>
          <w:szCs w:val="18"/>
          <w:i w:val="1"/>
          <w:iCs w:val="1"/>
          <w:color w:val="auto"/>
        </w:rPr>
        <w:t>Shopping.net</w:t>
      </w:r>
      <w:r>
        <w:rPr>
          <w:rFonts w:ascii="Times New Roman" w:cs="Times New Roman" w:eastAsia="Times New Roman" w:hAnsi="Times New Roman"/>
          <w:sz w:val="18"/>
          <w:szCs w:val="18"/>
          <w:color w:val="auto"/>
        </w:rPr>
        <w:t>, a vertical shopping search site, each of which contains a mix of search services and/or content targeted to various user or segment demographics.</w:t>
      </w:r>
    </w:p>
    <w:p>
      <w:pPr>
        <w:spacing w:after="0" w:line="18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Products, Services and Content</w:t>
      </w:r>
    </w:p>
    <w:p>
      <w:pPr>
        <w:spacing w:after="0" w:line="216" w:lineRule="exact"/>
        <w:rPr>
          <w:sz w:val="20"/>
          <w:szCs w:val="20"/>
          <w:color w:val="auto"/>
        </w:rPr>
      </w:pPr>
    </w:p>
    <w:p>
      <w:pPr>
        <w:ind w:right="20" w:firstLine="360"/>
        <w:spacing w:after="0"/>
        <w:rPr>
          <w:sz w:val="20"/>
          <w:szCs w:val="20"/>
          <w:color w:val="auto"/>
        </w:rPr>
      </w:pPr>
      <w:r>
        <w:rPr>
          <w:rFonts w:ascii="Times New Roman" w:cs="Times New Roman" w:eastAsia="Times New Roman" w:hAnsi="Times New Roman"/>
          <w:sz w:val="18"/>
          <w:szCs w:val="18"/>
          <w:color w:val="auto"/>
        </w:rPr>
        <w:t>Through Ask Media Group, we provide search services that generally involve the generation and display on a search results page of a set of hyperlinks to web pages deemed relevant to search queries entered by users. In addition to these algorithmic search results, paid listings are also generally displayed in response to search queries. Paid listings are advertisements displayed on search results pages that generally contain a link to an advertiser’s website. Paid listings are generally displayed based on keywords selected by the advertiser and relevancy to the search query. Through certain of Ask Media Group’s various websites, digital content in a variety of formats, primarily articles with images, is also provided in addition to general search services. Display advertisements and/or native advertising (advertising that matches the look, feel and function of the content alongside which it appears) generally appear alongside digital content.</w:t>
      </w:r>
    </w:p>
    <w:p>
      <w:pPr>
        <w:spacing w:after="0" w:line="185" w:lineRule="exact"/>
        <w:rPr>
          <w:sz w:val="20"/>
          <w:szCs w:val="20"/>
          <w:color w:val="auto"/>
        </w:rPr>
      </w:pPr>
    </w:p>
    <w:p>
      <w:pPr>
        <w:ind w:right="160" w:firstLine="360"/>
        <w:spacing w:after="0"/>
        <w:rPr>
          <w:sz w:val="20"/>
          <w:szCs w:val="20"/>
          <w:color w:val="auto"/>
        </w:rPr>
      </w:pPr>
      <w:r>
        <w:rPr>
          <w:rFonts w:ascii="Times New Roman" w:cs="Times New Roman" w:eastAsia="Times New Roman" w:hAnsi="Times New Roman"/>
          <w:sz w:val="18"/>
          <w:szCs w:val="18"/>
          <w:color w:val="auto"/>
        </w:rPr>
        <w:t>The Desktop business primarily owns and/or operates a portfolio of legacy (meaning they are no longer actively marketed and distributed to new users) consumer desktop browser applications and websites, as well as certain actively marketed business-to-business partnership operations, that provide users with access to a wide variety of online content, tools and services, including new tab search services and the option of default browser search services.</w:t>
      </w:r>
    </w:p>
    <w:p>
      <w:pPr>
        <w:spacing w:after="0" w:line="18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right="20" w:firstLine="405"/>
        <w:spacing w:after="0" w:line="244" w:lineRule="auto"/>
        <w:rPr>
          <w:sz w:val="20"/>
          <w:szCs w:val="20"/>
          <w:color w:val="auto"/>
        </w:rPr>
      </w:pPr>
      <w:r>
        <w:rPr>
          <w:rFonts w:ascii="Times New Roman" w:cs="Times New Roman" w:eastAsia="Times New Roman" w:hAnsi="Times New Roman"/>
          <w:sz w:val="18"/>
          <w:szCs w:val="18"/>
          <w:color w:val="auto"/>
        </w:rPr>
        <w:t>Ask Media Group revenue consists principally of advertising revenue generated principally through the display of paid listings in response to search queries, as well as from display advertisements appearing alongside content on its various websites and, to a lesser extent, affiliate commerce commission revenue. The majority of the paid listings displayed by Ask Media Group is supplied to us by Google Inc. (“Google”) pursuant to our services agreement with Google (the “Services Agreement”). Pursuant to the Services Agreement, Ask Media Group businesses transmit search queries to Google, which in turn transmits a set of relevant and responsive paid listings back to these businesses for display in search results. This ad-serving process occurs independently of, but concurrently with, the generation of algorithmic search results for the same search queries. Paid listings are displayed separately from algorithmic search results and are identified as sponsored listings on search results pages. Paid listings are priced on a price-per-click basis and when a user submits a search query through an Ask Media Group business and then clicks on a paid listing displayed in response to the query, Google bills the advertiser that purchased</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5" w:name="page16"/>
    <w:bookmarkEnd w:id="15"/>
    <w:p>
      <w:pPr>
        <w:ind w:right="60"/>
        <w:spacing w:after="0" w:line="268" w:lineRule="auto"/>
        <w:rPr>
          <w:sz w:val="20"/>
          <w:szCs w:val="20"/>
          <w:color w:val="auto"/>
        </w:rPr>
      </w:pPr>
      <w:r>
        <w:rPr>
          <w:rFonts w:ascii="Times New Roman" w:cs="Times New Roman" w:eastAsia="Times New Roman" w:hAnsi="Times New Roman"/>
          <w:sz w:val="17"/>
          <w:szCs w:val="17"/>
          <w:color w:val="auto"/>
        </w:rPr>
        <w:t>the paid listing and shares a portion of the fee charged to the advertiser with the Ask Media Group business. Ask Media Group recognizes paid listing revenue when it delivers the user's click. In cases where the user’s click is generated due to the efforts of a third-party distributor, we recognize the amount</w:t>
      </w:r>
    </w:p>
    <w:p>
      <w:pPr>
        <w:spacing w:after="0" w:line="245" w:lineRule="auto"/>
        <w:rPr>
          <w:sz w:val="20"/>
          <w:szCs w:val="20"/>
          <w:color w:val="auto"/>
        </w:rPr>
      </w:pPr>
      <w:r>
        <w:rPr>
          <w:rFonts w:ascii="Times New Roman" w:cs="Times New Roman" w:eastAsia="Times New Roman" w:hAnsi="Times New Roman"/>
          <w:sz w:val="18"/>
          <w:szCs w:val="18"/>
          <w:color w:val="auto"/>
        </w:rPr>
        <w:t>due from Google as revenue and record a payment obligation to the third-party distributor as traffic acquisition costs. See “</w:t>
      </w:r>
      <w:r>
        <w:rPr>
          <w:rFonts w:ascii="Times New Roman" w:cs="Times New Roman" w:eastAsia="Times New Roman" w:hAnsi="Times New Roman"/>
          <w:sz w:val="18"/>
          <w:szCs w:val="18"/>
          <w:u w:val="single" w:color="auto"/>
          <w:color w:val="0000FF"/>
        </w:rPr>
        <w:t>Item 1A — Risk Factors — 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Factors — Risks Relating to Our Business, Operations and Ownership — Certain of our businesses depend upon arrangements with Google</w:t>
      </w:r>
      <w:r>
        <w:rPr>
          <w:rFonts w:ascii="Times New Roman" w:cs="Times New Roman" w:eastAsia="Times New Roman" w:hAnsi="Times New Roman"/>
          <w:sz w:val="18"/>
          <w:szCs w:val="18"/>
          <w:color w:val="0000FF"/>
        </w:rPr>
        <w:t>.</w:t>
      </w:r>
      <w:r>
        <w:rPr>
          <w:rFonts w:ascii="Times New Roman" w:cs="Times New Roman" w:eastAsia="Times New Roman" w:hAnsi="Times New Roman"/>
          <w:sz w:val="18"/>
          <w:szCs w:val="18"/>
          <w:color w:val="000000"/>
        </w:rPr>
        <w:t>”</w:t>
      </w:r>
    </w:p>
    <w:p>
      <w:pPr>
        <w:spacing w:after="0" w:line="194" w:lineRule="exact"/>
        <w:rPr>
          <w:sz w:val="20"/>
          <w:szCs w:val="20"/>
          <w:color w:val="auto"/>
        </w:rPr>
      </w:pPr>
    </w:p>
    <w:p>
      <w:pPr>
        <w:ind w:right="100" w:firstLine="405"/>
        <w:spacing w:after="0" w:line="250" w:lineRule="auto"/>
        <w:rPr>
          <w:sz w:val="20"/>
          <w:szCs w:val="20"/>
          <w:color w:val="auto"/>
        </w:rPr>
      </w:pPr>
      <w:r>
        <w:rPr>
          <w:rFonts w:ascii="Times New Roman" w:cs="Times New Roman" w:eastAsia="Times New Roman" w:hAnsi="Times New Roman"/>
          <w:sz w:val="18"/>
          <w:szCs w:val="18"/>
          <w:color w:val="auto"/>
        </w:rPr>
        <w:t>Revenue from our Desktop business principally consists of advertising revenue generated principally through the display of paid listings in response to search queries. The majority of the paid listings displayed are supplied to us by Google in the manner, and pursuant to the Services Agreement, as described above.</w:t>
      </w:r>
    </w:p>
    <w:p>
      <w:pPr>
        <w:spacing w:after="0" w:line="17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Marketing</w:t>
      </w:r>
    </w:p>
    <w:p>
      <w:pPr>
        <w:spacing w:after="0" w:line="216" w:lineRule="exact"/>
        <w:rPr>
          <w:sz w:val="20"/>
          <w:szCs w:val="20"/>
          <w:color w:val="auto"/>
        </w:rPr>
      </w:pPr>
    </w:p>
    <w:p>
      <w:pPr>
        <w:ind w:right="360" w:firstLine="360"/>
        <w:spacing w:after="0" w:line="250" w:lineRule="auto"/>
        <w:rPr>
          <w:sz w:val="20"/>
          <w:szCs w:val="20"/>
          <w:color w:val="auto"/>
        </w:rPr>
      </w:pPr>
      <w:r>
        <w:rPr>
          <w:rFonts w:ascii="Times New Roman" w:cs="Times New Roman" w:eastAsia="Times New Roman" w:hAnsi="Times New Roman"/>
          <w:sz w:val="18"/>
          <w:szCs w:val="18"/>
          <w:color w:val="auto"/>
        </w:rPr>
        <w:t>Ask Media Group’s various properties are marketed primarily through the acquisition of traffic from major search engines and their syndication networks, which involves the purchase of keyword-based sponsored listings that link to search results pages of Ask Media Group properties, and other types of display media (primarily banner advertisements).</w:t>
      </w:r>
    </w:p>
    <w:p>
      <w:pPr>
        <w:spacing w:after="0" w:line="177" w:lineRule="exact"/>
        <w:rPr>
          <w:sz w:val="20"/>
          <w:szCs w:val="20"/>
          <w:color w:val="auto"/>
        </w:rPr>
      </w:pPr>
    </w:p>
    <w:p>
      <w:pPr>
        <w:ind w:right="20" w:firstLine="360"/>
        <w:spacing w:after="0" w:line="250" w:lineRule="auto"/>
        <w:rPr>
          <w:sz w:val="20"/>
          <w:szCs w:val="20"/>
          <w:color w:val="auto"/>
        </w:rPr>
      </w:pPr>
      <w:r>
        <w:rPr>
          <w:rFonts w:ascii="Times New Roman" w:cs="Times New Roman" w:eastAsia="Times New Roman" w:hAnsi="Times New Roman"/>
          <w:sz w:val="18"/>
          <w:szCs w:val="18"/>
          <w:color w:val="auto"/>
        </w:rPr>
        <w:t>Ask Media Group content is also marketed through a variety of digital distribution channels, including search engines, social media platforms, display advertising networks and native advertising networks, as well as a number of advertising agencies that acquire traffic via these channels for certain Ask Media Group properties.</w:t>
      </w:r>
    </w:p>
    <w:p>
      <w:pPr>
        <w:spacing w:after="0" w:line="17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Certain search powered desktop applications are marketed to users through the relevant business-to-business partnership.</w:t>
      </w:r>
    </w:p>
    <w:p>
      <w:pPr>
        <w:spacing w:after="0" w:line="1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216" w:lineRule="exact"/>
        <w:rPr>
          <w:sz w:val="20"/>
          <w:szCs w:val="20"/>
          <w:color w:val="auto"/>
        </w:rPr>
      </w:pPr>
    </w:p>
    <w:p>
      <w:pPr>
        <w:ind w:right="40" w:firstLine="360"/>
        <w:spacing w:after="0" w:line="245" w:lineRule="auto"/>
        <w:rPr>
          <w:sz w:val="20"/>
          <w:szCs w:val="20"/>
          <w:color w:val="auto"/>
        </w:rPr>
      </w:pPr>
      <w:r>
        <w:rPr>
          <w:rFonts w:ascii="Times New Roman" w:cs="Times New Roman" w:eastAsia="Times New Roman" w:hAnsi="Times New Roman"/>
          <w:sz w:val="18"/>
          <w:szCs w:val="18"/>
          <w:color w:val="auto"/>
        </w:rPr>
        <w:t>In the case of general search services, Ask Media Group’s competitors include major search engines and other destination search websites and search-centric portals that engage in marketing efforts similar to those of Ask Media Group. In the case of content, Ask Media Group’s competitors primarily include online publishers and destination websites with brands in similar vertical content categories and social channels. We believe that Ask Media Group’s ability to compete successfully will depend primarily upon:</w:t>
      </w:r>
    </w:p>
    <w:p>
      <w:pPr>
        <w:spacing w:after="0" w:line="203"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22"/>
          <w:szCs w:val="22"/>
          <w:color w:val="auto"/>
        </w:rPr>
      </w:pPr>
      <w:r>
        <w:rPr>
          <w:rFonts w:ascii="Times New Roman" w:cs="Times New Roman" w:eastAsia="Times New Roman" w:hAnsi="Times New Roman"/>
          <w:sz w:val="18"/>
          <w:szCs w:val="18"/>
          <w:color w:val="auto"/>
        </w:rPr>
        <w:t>the continued ability to monetize search traffic via paid search listings;</w:t>
      </w:r>
    </w:p>
    <w:p>
      <w:pPr>
        <w:spacing w:after="0" w:line="224" w:lineRule="exact"/>
        <w:rPr>
          <w:rFonts w:ascii="Arial" w:cs="Arial" w:eastAsia="Arial" w:hAnsi="Arial"/>
          <w:sz w:val="22"/>
          <w:szCs w:val="22"/>
          <w:color w:val="auto"/>
        </w:rPr>
      </w:pPr>
    </w:p>
    <w:p>
      <w:pPr>
        <w:ind w:left="660" w:right="120" w:hanging="328"/>
        <w:spacing w:after="0" w:line="227" w:lineRule="auto"/>
        <w:tabs>
          <w:tab w:leader="none" w:pos="655" w:val="left"/>
        </w:tabs>
        <w:numPr>
          <w:ilvl w:val="0"/>
          <w:numId w:val="10"/>
        </w:numPr>
        <w:rPr>
          <w:rFonts w:ascii="Arial" w:cs="Arial" w:eastAsia="Arial" w:hAnsi="Arial"/>
          <w:sz w:val="22"/>
          <w:szCs w:val="22"/>
          <w:color w:val="auto"/>
        </w:rPr>
      </w:pPr>
      <w:r>
        <w:rPr>
          <w:rFonts w:ascii="Times New Roman" w:cs="Times New Roman" w:eastAsia="Times New Roman" w:hAnsi="Times New Roman"/>
          <w:sz w:val="18"/>
          <w:szCs w:val="18"/>
          <w:color w:val="auto"/>
        </w:rPr>
        <w:t>the continued ability to market Ask Media Group search websites in a cost-effective manner, which depends, in part, on the ability to continue to obtain quality traffic from valid sources (from real users with genuine interest) in a cost- effective manner;</w:t>
      </w:r>
    </w:p>
    <w:p>
      <w:pPr>
        <w:spacing w:after="0" w:line="207" w:lineRule="exact"/>
        <w:rPr>
          <w:rFonts w:ascii="Arial" w:cs="Arial" w:eastAsia="Arial" w:hAnsi="Arial"/>
          <w:sz w:val="22"/>
          <w:szCs w:val="22"/>
          <w:color w:val="auto"/>
        </w:rPr>
      </w:pPr>
    </w:p>
    <w:p>
      <w:pPr>
        <w:ind w:left="660" w:hanging="328"/>
        <w:spacing w:after="0"/>
        <w:tabs>
          <w:tab w:leader="none" w:pos="660" w:val="left"/>
        </w:tabs>
        <w:numPr>
          <w:ilvl w:val="0"/>
          <w:numId w:val="10"/>
        </w:numPr>
        <w:rPr>
          <w:rFonts w:ascii="Arial" w:cs="Arial" w:eastAsia="Arial" w:hAnsi="Arial"/>
          <w:sz w:val="22"/>
          <w:szCs w:val="22"/>
          <w:color w:val="auto"/>
        </w:rPr>
      </w:pPr>
      <w:r>
        <w:rPr>
          <w:rFonts w:ascii="Times New Roman" w:cs="Times New Roman" w:eastAsia="Times New Roman" w:hAnsi="Times New Roman"/>
          <w:sz w:val="18"/>
          <w:szCs w:val="18"/>
          <w:color w:val="auto"/>
        </w:rPr>
        <w:t>the relevance and authority of search results, answers and other content displayed on Ask Media Group various properties;</w:t>
      </w:r>
    </w:p>
    <w:p>
      <w:pPr>
        <w:spacing w:after="0" w:line="224" w:lineRule="exact"/>
        <w:rPr>
          <w:rFonts w:ascii="Arial" w:cs="Arial" w:eastAsia="Arial" w:hAnsi="Arial"/>
          <w:sz w:val="22"/>
          <w:szCs w:val="22"/>
          <w:color w:val="auto"/>
        </w:rPr>
      </w:pPr>
    </w:p>
    <w:p>
      <w:pPr>
        <w:ind w:left="660" w:right="380" w:hanging="328"/>
        <w:spacing w:after="0" w:line="227" w:lineRule="auto"/>
        <w:tabs>
          <w:tab w:leader="none" w:pos="655" w:val="left"/>
        </w:tabs>
        <w:numPr>
          <w:ilvl w:val="0"/>
          <w:numId w:val="10"/>
        </w:numPr>
        <w:rPr>
          <w:rFonts w:ascii="Arial" w:cs="Arial" w:eastAsia="Arial" w:hAnsi="Arial"/>
          <w:sz w:val="22"/>
          <w:szCs w:val="22"/>
          <w:color w:val="auto"/>
        </w:rPr>
      </w:pPr>
      <w:r>
        <w:rPr>
          <w:rFonts w:ascii="Times New Roman" w:cs="Times New Roman" w:eastAsia="Times New Roman" w:hAnsi="Times New Roman"/>
          <w:sz w:val="18"/>
          <w:szCs w:val="18"/>
          <w:color w:val="auto"/>
        </w:rPr>
        <w:t>the continued ability to differentiate Ask Media Group search websites (which depends primarily upon its continued ability to deliver quality, authoritative and trustworthy content to users), as well as the ability to attract advertisers to these websites;</w:t>
      </w:r>
    </w:p>
    <w:p>
      <w:pPr>
        <w:spacing w:after="0" w:line="207" w:lineRule="exact"/>
        <w:rPr>
          <w:rFonts w:ascii="Arial" w:cs="Arial" w:eastAsia="Arial" w:hAnsi="Arial"/>
          <w:sz w:val="22"/>
          <w:szCs w:val="22"/>
          <w:color w:val="auto"/>
        </w:rPr>
      </w:pPr>
    </w:p>
    <w:p>
      <w:pPr>
        <w:ind w:left="660" w:hanging="328"/>
        <w:spacing w:after="0"/>
        <w:tabs>
          <w:tab w:leader="none" w:pos="660" w:val="left"/>
        </w:tabs>
        <w:numPr>
          <w:ilvl w:val="0"/>
          <w:numId w:val="10"/>
        </w:numPr>
        <w:rPr>
          <w:rFonts w:ascii="Arial" w:cs="Arial" w:eastAsia="Arial" w:hAnsi="Arial"/>
          <w:sz w:val="22"/>
          <w:szCs w:val="22"/>
          <w:color w:val="auto"/>
        </w:rPr>
      </w:pPr>
      <w:r>
        <w:rPr>
          <w:rFonts w:ascii="Times New Roman" w:cs="Times New Roman" w:eastAsia="Times New Roman" w:hAnsi="Times New Roman"/>
          <w:sz w:val="18"/>
          <w:szCs w:val="18"/>
          <w:color w:val="auto"/>
        </w:rPr>
        <w:t>the ability to successfully create or acquire content (or the rights thereto) for marketing purposes in a cost-effective manner; and</w:t>
      </w:r>
    </w:p>
    <w:p>
      <w:pPr>
        <w:spacing w:after="0" w:line="184" w:lineRule="exact"/>
        <w:rPr>
          <w:rFonts w:ascii="Arial" w:cs="Arial" w:eastAsia="Arial" w:hAnsi="Arial"/>
          <w:sz w:val="22"/>
          <w:szCs w:val="22"/>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monetize content pages with display and other forms of digital advertising.</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&amp; Other</w:t>
      </w:r>
    </w:p>
    <w:p>
      <w:pPr>
        <w:spacing w:after="0" w:line="21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Emerging &amp; Other primarily includes:</w:t>
      </w:r>
    </w:p>
    <w:p>
      <w:pPr>
        <w:spacing w:after="0" w:line="212"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Vivian Health, a platform to efficiently connect healthcare professionals with job opportunities;</w:t>
      </w:r>
    </w:p>
    <w:p>
      <w:pPr>
        <w:spacing w:after="0" w:line="22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Daily Beast, a website dedicated to news, commentary, culture and entertainment that publishes original reporting and opinion from its roster of full-time journalists and contributors;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7" w:right="379" w:bottom="1440" w:gutter="0" w:footer="0" w:header="0"/>
        </w:sectPr>
      </w:pPr>
    </w:p>
    <w:bookmarkStart w:id="16" w:name="page17"/>
    <w:bookmarkEnd w:id="16"/>
    <w:p>
      <w:pPr>
        <w:ind w:left="660" w:right="300" w:hanging="328"/>
        <w:spacing w:after="0" w:line="282" w:lineRule="auto"/>
        <w:tabs>
          <w:tab w:leader="none" w:pos="655"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IAC Films, a provider of producer services for feature films, primarily for initial sale and distribution through theatrical releases and video-on-demand services in the United States and internationally;</w:t>
      </w:r>
    </w:p>
    <w:p>
      <w:pPr>
        <w:spacing w:after="0" w:line="161" w:lineRule="exact"/>
        <w:rPr>
          <w:rFonts w:ascii="Times New Roman" w:cs="Times New Roman" w:eastAsia="Times New Roman" w:hAnsi="Times New Roman"/>
          <w:sz w:val="18"/>
          <w:szCs w:val="18"/>
          <w:b w:val="1"/>
          <w:bCs w:val="1"/>
          <w:color w:val="auto"/>
        </w:rPr>
      </w:pPr>
    </w:p>
    <w:p>
      <w:pPr>
        <w:ind w:left="660" w:right="20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Mosaic Group, a former developer and provider of global subscription mobile applications, for periods prior to the sale of its assets on February 15, 2024, which was accounted for as a sale of a business, for approximately $160 million;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Roofing, a provider of roof replacement and repair services, for periods prior to its sale on November 1, 2023; and</w:t>
      </w:r>
    </w:p>
    <w:p>
      <w:pPr>
        <w:spacing w:after="0" w:line="225"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Bluecrew, a technology driven staffing platform, for periods prior to its sale on November 9, 2022.</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16" w:lineRule="exact"/>
        <w:rPr>
          <w:sz w:val="20"/>
          <w:szCs w:val="20"/>
          <w:color w:val="auto"/>
        </w:rPr>
      </w:pPr>
    </w:p>
    <w:p>
      <w:pPr>
        <w:ind w:firstLine="360"/>
        <w:spacing w:after="0" w:line="250" w:lineRule="auto"/>
        <w:rPr>
          <w:sz w:val="20"/>
          <w:szCs w:val="20"/>
          <w:color w:val="auto"/>
        </w:rPr>
      </w:pPr>
      <w:r>
        <w:rPr>
          <w:rFonts w:ascii="Times New Roman" w:cs="Times New Roman" w:eastAsia="Times New Roman" w:hAnsi="Times New Roman"/>
          <w:sz w:val="18"/>
          <w:szCs w:val="18"/>
          <w:color w:val="auto"/>
        </w:rPr>
        <w:t>We rely heavily upon our trademarks, service marks and related domain names and logos to market our brands and to build and maintain brand loyalty and recognition, as well as upon trade secrets, and regard this intellectual property as critical to our success. We also rely, to a lesser extent upon patented and patent-pending proprietary technologies with expiration dates ranging from various dates in late 2025 to 2035.</w:t>
      </w:r>
    </w:p>
    <w:p>
      <w:pPr>
        <w:spacing w:after="0" w:line="177" w:lineRule="exact"/>
        <w:rPr>
          <w:sz w:val="20"/>
          <w:szCs w:val="20"/>
          <w:color w:val="auto"/>
        </w:rPr>
      </w:pPr>
    </w:p>
    <w:p>
      <w:pPr>
        <w:ind w:right="200" w:firstLine="360"/>
        <w:spacing w:after="0"/>
        <w:rPr>
          <w:sz w:val="20"/>
          <w:szCs w:val="20"/>
          <w:color w:val="auto"/>
        </w:rPr>
      </w:pPr>
      <w:r>
        <w:rPr>
          <w:rFonts w:ascii="Times New Roman" w:cs="Times New Roman" w:eastAsia="Times New Roman" w:hAnsi="Times New Roman"/>
          <w:sz w:val="18"/>
          <w:szCs w:val="18"/>
          <w:color w:val="auto"/>
        </w:rPr>
        <w:t>We have generally registered and continue to apply to register and renew (or secure by contract where appropriate) trademarks and service marks as they are developed and used, and reserve, register and renew domain names as we deem appropriate. We also generally seek to apply for patents or for other similar statutory protections (as and if we deem appropriate) based on then current facts and circumstances and intend to continue to do so in the future.</w:t>
      </w:r>
    </w:p>
    <w:p>
      <w:pPr>
        <w:spacing w:after="0" w:line="185" w:lineRule="exact"/>
        <w:rPr>
          <w:sz w:val="20"/>
          <w:szCs w:val="20"/>
          <w:color w:val="auto"/>
        </w:rPr>
      </w:pPr>
    </w:p>
    <w:p>
      <w:pPr>
        <w:ind w:right="340" w:firstLine="360"/>
        <w:spacing w:after="0" w:line="266" w:lineRule="auto"/>
        <w:rPr>
          <w:sz w:val="20"/>
          <w:szCs w:val="20"/>
          <w:color w:val="auto"/>
        </w:rPr>
      </w:pPr>
      <w:r>
        <w:rPr>
          <w:rFonts w:ascii="Times New Roman" w:cs="Times New Roman" w:eastAsia="Times New Roman" w:hAnsi="Times New Roman"/>
          <w:sz w:val="18"/>
          <w:szCs w:val="18"/>
          <w:color w:val="auto"/>
        </w:rPr>
        <w:t>In addition, in the case of our Digital and Print publishing brands, to build and maintain these brands, we rely heavily on copyright protections for original content that we produce and publish.</w:t>
      </w:r>
    </w:p>
    <w:p>
      <w:pPr>
        <w:spacing w:after="0" w:line="162" w:lineRule="exact"/>
        <w:rPr>
          <w:sz w:val="20"/>
          <w:szCs w:val="20"/>
          <w:color w:val="auto"/>
        </w:rPr>
      </w:pPr>
    </w:p>
    <w:p>
      <w:pPr>
        <w:ind w:right="620" w:firstLine="360"/>
        <w:spacing w:after="0" w:line="296" w:lineRule="auto"/>
        <w:rPr>
          <w:sz w:val="20"/>
          <w:szCs w:val="20"/>
          <w:color w:val="auto"/>
        </w:rPr>
      </w:pPr>
      <w:r>
        <w:rPr>
          <w:rFonts w:ascii="Times New Roman" w:cs="Times New Roman" w:eastAsia="Times New Roman" w:hAnsi="Times New Roman"/>
          <w:sz w:val="17"/>
          <w:szCs w:val="17"/>
          <w:color w:val="auto"/>
        </w:rPr>
        <w:t>We rely on a combination of internal and external controls, including applicable laws, rules and regulations and restrictions with employees, customers, suppliers, affiliates and others, as well as legal action, to establish, protect and otherwise control our various intellectual property rights.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16" w:lineRule="exact"/>
        <w:rPr>
          <w:sz w:val="20"/>
          <w:szCs w:val="20"/>
          <w:color w:val="auto"/>
        </w:rPr>
      </w:pPr>
    </w:p>
    <w:p>
      <w:pPr>
        <w:ind w:firstLine="360"/>
        <w:spacing w:after="0"/>
        <w:rPr>
          <w:sz w:val="20"/>
          <w:szCs w:val="20"/>
          <w:color w:val="auto"/>
        </w:rPr>
      </w:pPr>
      <w:r>
        <w:rPr>
          <w:rFonts w:ascii="Times New Roman" w:cs="Times New Roman" w:eastAsia="Times New Roman" w:hAnsi="Times New Roman"/>
          <w:sz w:val="18"/>
          <w:szCs w:val="18"/>
          <w:color w:val="auto"/>
        </w:rPr>
        <w:t>We are subject to a variety of domestic and foreign laws and regulations in the U.S. and various jurisdictions abroad involving matters that are important to (or may otherwise impact) our various businesses, such as (among others) broadband internet access, online commerce, privacy and data security, advertising, intermediary liability, consumer protection, taxation, worker classification and securities compliance. These domestic and foreign laws and regulations, which in some cases can be enforced by private parties in addition to government entities, are continually evolving and can be subject to significant change. As a result, the application, interpretation and enforcement of these laws and regulations (and any amended, proposed or new laws and regulations) are often uncertain, particularly in the Internet industry, and may vary from jurisdiction to jurisdiction and over time, which could result in conflicts with our current policies and practices and those of our various businesses.</w:t>
      </w:r>
    </w:p>
    <w:p>
      <w:pPr>
        <w:spacing w:after="0" w:line="171" w:lineRule="exact"/>
        <w:rPr>
          <w:sz w:val="20"/>
          <w:szCs w:val="20"/>
          <w:color w:val="auto"/>
        </w:rPr>
      </w:pPr>
    </w:p>
    <w:p>
      <w:pPr>
        <w:ind w:right="40" w:firstLine="360"/>
        <w:spacing w:after="0" w:line="245" w:lineRule="auto"/>
        <w:rPr>
          <w:sz w:val="20"/>
          <w:szCs w:val="20"/>
          <w:color w:val="auto"/>
        </w:rPr>
      </w:pPr>
      <w:r>
        <w:rPr>
          <w:rFonts w:ascii="Times New Roman" w:cs="Times New Roman" w:eastAsia="Times New Roman" w:hAnsi="Times New Roman"/>
          <w:sz w:val="18"/>
          <w:szCs w:val="18"/>
          <w:color w:val="auto"/>
        </w:rPr>
        <w:t>Because we conduct substantially all of our business on the Internet, we are particularly sensitive to laws and regulations that could adversely impact the popularity or growth in use of the Internet and/or online products and services generally, restrict or otherwise unfavorably impact whether or how we may provide our products and services, regulate the practices of third parties upon which we rely to provide our products and services and/or undermine an open and neutrally administered Internet access.</w:t>
      </w:r>
    </w:p>
    <w:p>
      <w:pPr>
        <w:spacing w:after="0" w:line="181" w:lineRule="exact"/>
        <w:rPr>
          <w:sz w:val="20"/>
          <w:szCs w:val="20"/>
          <w:color w:val="auto"/>
        </w:rPr>
      </w:pPr>
    </w:p>
    <w:p>
      <w:pPr>
        <w:ind w:firstLine="360"/>
        <w:spacing w:after="0" w:line="255" w:lineRule="auto"/>
        <w:rPr>
          <w:sz w:val="20"/>
          <w:szCs w:val="20"/>
          <w:color w:val="auto"/>
        </w:rPr>
      </w:pPr>
      <w:r>
        <w:rPr>
          <w:rFonts w:ascii="Times New Roman" w:cs="Times New Roman" w:eastAsia="Times New Roman" w:hAnsi="Times New Roman"/>
          <w:sz w:val="17"/>
          <w:szCs w:val="17"/>
          <w:color w:val="auto"/>
        </w:rPr>
        <w:t>For example, Section 230 of the Communications Decency Act of 1996 (“Section 230”), which generally provides immunity for website publishers from liability for third-party content appearing on their platforms and the good faith removal of third-party content from their platforms that they may deem obscene or offensive (even if constitutionally protected speech), since its adoption has been (and continues to be) subject to challenges. The immunities conferred by Section 230 could also be narrowed or eliminated through amendment, regulatory action, judicial interpretation or legislative efforts. Any future adverse changes to Section 230 could result in additional compliance costs for us and/or exposure to additional liabilities. In addition, the European Union’s Digital Services Act, which was fully implemented in February 2024, enhances the moderation obligations and potential liabilities of digital platforms. Further, in late 2023, the United Kingdom enacted the Online Safety Bill, which significantly increased responsibilities of online platforms to control illegal or harmful activity and granted broad authority to the communications regulator in the United Kingdom to enforce its provisions.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7" w:right="359" w:bottom="1440" w:gutter="0" w:footer="0" w:header="0"/>
        </w:sectPr>
      </w:pPr>
    </w:p>
    <w:bookmarkStart w:id="17" w:name="page18"/>
    <w:bookmarkEnd w:id="17"/>
    <w:p>
      <w:pPr>
        <w:ind w:right="120" w:firstLine="360"/>
        <w:spacing w:after="0" w:line="236" w:lineRule="auto"/>
        <w:rPr>
          <w:sz w:val="20"/>
          <w:szCs w:val="20"/>
          <w:color w:val="auto"/>
        </w:rPr>
      </w:pPr>
      <w:r>
        <w:rPr>
          <w:rFonts w:ascii="Times New Roman" w:cs="Times New Roman" w:eastAsia="Times New Roman" w:hAnsi="Times New Roman"/>
          <w:sz w:val="18"/>
          <w:szCs w:val="18"/>
          <w:color w:val="auto"/>
        </w:rPr>
        <w:t>Because we receive, store and use a substantial amount of information received from or generated by our users and subscribers, we are also impacted by laws and regulations governing privacy, the collection, storage, sharing, use, processing, disclosure and protection of personal data and data security. Examples of comprehensive regulatory initiatives in the area of privacy and data security include a comprehensive European Union privacy and data protection reform, the General Data Protection Regulation (the “GDPR”), which became effective in May 2018. The GDPR, which applies to certain companies that are organized in the European Union or otherwise provide services to (or monitor) consumers who reside in the European Union, imposes significant penalties (monetary and otherwise) for non-compliance, as well as provides a private right of action for individual claimants. The GDPR will continue to be interpreted by European Union data protection regulators, which may require us to make changes to our business practices and could generate additional risks and liabilities. In addition, enforcement actions brought by data protection regulators in European Union member states continue to rise. Furthermore, the GDPR has been influential in the development of comprehensive privacy laws globally, with major trading nations such a Brazil, China, India and the United Kingdom adopting national privacy laws modeled, to an extent, after the GDPR, and raising similar compliance challenges.</w:t>
      </w:r>
    </w:p>
    <w:p>
      <w:pPr>
        <w:spacing w:after="0" w:line="192" w:lineRule="exact"/>
        <w:rPr>
          <w:sz w:val="20"/>
          <w:szCs w:val="20"/>
          <w:color w:val="auto"/>
        </w:rPr>
      </w:pPr>
    </w:p>
    <w:p>
      <w:pPr>
        <w:ind w:right="360" w:firstLine="360"/>
        <w:spacing w:after="0" w:line="273" w:lineRule="auto"/>
        <w:rPr>
          <w:sz w:val="20"/>
          <w:szCs w:val="20"/>
          <w:color w:val="auto"/>
        </w:rPr>
      </w:pPr>
      <w:r>
        <w:rPr>
          <w:rFonts w:ascii="Times New Roman" w:cs="Times New Roman" w:eastAsia="Times New Roman" w:hAnsi="Times New Roman"/>
          <w:sz w:val="17"/>
          <w:szCs w:val="17"/>
          <w:color w:val="auto"/>
        </w:rPr>
        <w:t>In addition, in July 2023, the European Union, the United Kingdom and Switzerland established certain frameworks to facilitate the transfer of personal data by way of new mechanisms to the U.S. While these frameworks are consistent with applicable local laws, rules and regulations, they and</w:t>
      </w:r>
    </w:p>
    <w:p>
      <w:pPr>
        <w:spacing w:after="0" w:line="1"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other frameworks for cross-border data transfers continue to face legal challenges. As privacy regulation generally and related legal challenges continue to evolve, we may need to devote more resources towards compliance and/or make changes to our business practices to ensure compliance, which could be costly.</w:t>
      </w:r>
    </w:p>
    <w:p>
      <w:pPr>
        <w:spacing w:after="0" w:line="177" w:lineRule="exact"/>
        <w:rPr>
          <w:sz w:val="20"/>
          <w:szCs w:val="20"/>
          <w:color w:val="auto"/>
        </w:rPr>
      </w:pPr>
    </w:p>
    <w:p>
      <w:pPr>
        <w:ind w:firstLine="360"/>
        <w:spacing w:after="0" w:line="236" w:lineRule="auto"/>
        <w:rPr>
          <w:sz w:val="20"/>
          <w:szCs w:val="20"/>
          <w:color w:val="auto"/>
        </w:rPr>
      </w:pPr>
      <w:r>
        <w:rPr>
          <w:rFonts w:ascii="Times New Roman" w:cs="Times New Roman" w:eastAsia="Times New Roman" w:hAnsi="Times New Roman"/>
          <w:sz w:val="18"/>
          <w:szCs w:val="18"/>
          <w:color w:val="auto"/>
        </w:rPr>
        <w:t>Moreover, while multiple legislative proposals concerning privacy and the protection of user information are being considered at the federal and state level in the U.S., many U.S. state legislatures have already enacted privacy legislation, one of the strictest and most comprehensive of which is the California Consumer Privacy Act of 2018, which became effective on January 1, 2020 (the “CCPA”). The CCPA provides data privacy rights for California consumers and restricts the ability of certain of our businesses to use personal California user and subscriber information in connection with their various products, services and operations. The CCPA also provides consumers with a private right of action for security breaches, as well as provides for statutory damages. In addition, in November 2020, California voters approved Proposition 24 (the “California Privacy Rights Act of 2020”), which amended certain provisions of the CCPA and became fully enforceable on July 1, 2023. The California Privacy Rights Act of 2020 further restricts the ability of certain of our businesses to use personal California user and subscriber information in connection with their various products and services and/or could impose additional operational requirements on such businesses. Many other U.S. states have passed comprehensive privacy legislation that became effective in 2024 or are expected to become effective in 2025, some of which are similar to the CCPA, as amended by the California Privacy Rights Act of 2020. In addition to these comprehensive laws, new state laws and regulations focused on specific privacy issues, such as biometric privacy, children’s privacy and the use of artificial intelligence, further complicate privacy compliance.</w:t>
      </w:r>
    </w:p>
    <w:p>
      <w:pPr>
        <w:spacing w:after="0" w:line="190" w:lineRule="exact"/>
        <w:rPr>
          <w:sz w:val="20"/>
          <w:szCs w:val="20"/>
          <w:color w:val="auto"/>
        </w:rPr>
      </w:pPr>
    </w:p>
    <w:p>
      <w:pPr>
        <w:ind w:right="60" w:firstLine="360"/>
        <w:spacing w:after="0" w:line="237" w:lineRule="auto"/>
        <w:rPr>
          <w:sz w:val="20"/>
          <w:szCs w:val="20"/>
          <w:color w:val="auto"/>
        </w:rPr>
      </w:pPr>
      <w:r>
        <w:rPr>
          <w:rFonts w:ascii="Times New Roman" w:cs="Times New Roman" w:eastAsia="Times New Roman" w:hAnsi="Times New Roman"/>
          <w:sz w:val="18"/>
          <w:szCs w:val="18"/>
          <w:color w:val="auto"/>
        </w:rPr>
        <w:t>As privacy regulation and related legal challenges continue to evolve, we may need to devote increased resources in connection with compliance efforts generally and/or make changes to our business practices, which could be costly. Furthermore, privacy litigation claims related to the use of standard website technologies that assist in generating revenue from advertising, such as cookies and pixels, and the sharing of personal information with third parties in connection with advertising efforts are becoming increasingly prevalent and could adversely impact our business, financial condition and results of operations. Lastly, the U.S. Federal Trade Commission (the “FTC”) continues to increase its focus on privacy, data sharing and data security practices and we anticipate this focus to continue. If so, we could be subject to various private and governmental claims and actions in this area. See “</w:t>
      </w:r>
      <w:r>
        <w:rPr>
          <w:rFonts w:ascii="Times New Roman" w:cs="Times New Roman" w:eastAsia="Times New Roman" w:hAnsi="Times New Roman"/>
          <w:sz w:val="18"/>
          <w:szCs w:val="18"/>
          <w:u w:val="single" w:color="auto"/>
          <w:color w:val="0000FF"/>
        </w:rPr>
        <w:t>Item 1A —</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Risk Factors — Risk Factors — General Risk Factors — The processing, storage, use and disclosure of personal data could give rise to liabilities and increased costs.</w:t>
      </w:r>
      <w:r>
        <w:rPr>
          <w:rFonts w:ascii="Times New Roman" w:cs="Times New Roman" w:eastAsia="Times New Roman" w:hAnsi="Times New Roman"/>
          <w:sz w:val="18"/>
          <w:szCs w:val="18"/>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8" w:name="page19"/>
    <w:bookmarkEnd w:id="18"/>
    <w:p>
      <w:pPr>
        <w:ind w:right="20" w:firstLine="360"/>
        <w:spacing w:after="0" w:line="235" w:lineRule="auto"/>
        <w:rPr>
          <w:sz w:val="20"/>
          <w:szCs w:val="20"/>
          <w:color w:val="auto"/>
        </w:rPr>
      </w:pPr>
      <w:r>
        <w:rPr>
          <w:rFonts w:ascii="Times New Roman" w:cs="Times New Roman" w:eastAsia="Times New Roman" w:hAnsi="Times New Roman"/>
          <w:sz w:val="18"/>
          <w:szCs w:val="18"/>
          <w:color w:val="auto"/>
        </w:rPr>
        <w:t>As a provider of certain subscription-based products and services, we are also impacted by laws or regulations affecting whether and how our businesses may periodically charge users for membership or subscription renewals. For example, in November 2024, the FTC amended its Negative Option Rule to impose additional requirements on the marketing and sale of subscription-based products and services, including separate opt-in requirements for subscription sign-ups, clear and conspicuous disclosure of material subscription terms immediately adjacent to where consumers enrolled for a given subscription and ensuring the consumer can cancel a given subscription by way of the same means through which they enrolled (the “Amended Negative Option Rule”). The Amended Negative Option Rule also prohibits misrepresentations in connection with the advertising or offering of a product or service with a negative option feature, which may significantly increase the risk associated with the offering of subscription-based products or services and related advertising. While the Amended Negative Option Rule is being challenged in federal court, its core provisions are expected to become effective in May 2025 and may require changes to the manner in which our businesses market subscription-based products and services. Compliance with the Amended Negative Option Rule could be costly and related changes to our platforms and marketing efforts could adversely affect consumer conversion and renewal rates. The Amended Negative Option Rule also expands the ability of the FTC to seek civil penalties and consumer redress for violations, including for product misrepresentations. In addition, the European Union Payment Services Directive, which became effective in 2018, could impact the ability of certain of our businesses to efficiently process auto-renewal payments for, as well as offer promotional or differentiated pricing to, users who reside in the European Union. Similar laws exist in the U.S., including the federal Restore Online Shoppers' Confidence Act and various U.S. state laws, and legislative and regulatory enactments or amendments are under consideration and being adopted in a number of U.S. states. The adoption of the Amended Negative Option Rule and/or any other law that adversely affects revenue from subscription-based products and services and/or the manner in which we market and sell such products and services could adversely affect our business, financial condition and results of operations, particularly in the case of our Dotdash Meredith, Angi and Care.com businesses.</w:t>
      </w:r>
    </w:p>
    <w:p>
      <w:pPr>
        <w:spacing w:after="0" w:line="199" w:lineRule="exact"/>
        <w:rPr>
          <w:sz w:val="20"/>
          <w:szCs w:val="20"/>
          <w:color w:val="auto"/>
        </w:rPr>
      </w:pPr>
    </w:p>
    <w:p>
      <w:pPr>
        <w:ind w:firstLine="360"/>
        <w:spacing w:after="0" w:line="239" w:lineRule="auto"/>
        <w:rPr>
          <w:sz w:val="20"/>
          <w:szCs w:val="20"/>
          <w:color w:val="auto"/>
        </w:rPr>
      </w:pPr>
      <w:r>
        <w:rPr>
          <w:rFonts w:ascii="Times New Roman" w:cs="Times New Roman" w:eastAsia="Times New Roman" w:hAnsi="Times New Roman"/>
          <w:sz w:val="18"/>
          <w:szCs w:val="18"/>
          <w:color w:val="auto"/>
        </w:rPr>
        <w:t>We are also subject to laws, rules and regulations governing the marketing and advertising activities of our various businesses conducted by or through telephone, email, mobile digital devices and the Internet, including the Telephone Consumer Protection Act of 1991 (the “TCPA”), the Telemarketing Sales Rule, the CAN-SPAM act and similar state laws, rules and regulations, as well as local laws, rules and regulations and relevant agency guidelines governing background screening. See “</w:t>
      </w:r>
      <w:r>
        <w:rPr>
          <w:rFonts w:ascii="Times New Roman" w:cs="Times New Roman" w:eastAsia="Times New Roman" w:hAnsi="Times New Roman"/>
          <w:sz w:val="18"/>
          <w:szCs w:val="18"/>
          <w:u w:val="single" w:color="auto"/>
          <w:color w:val="0000FF"/>
        </w:rPr>
        <w:t>Item 1A — Risk Factors — Risk Factors — Risks Related to Our Business and Industry — Changes to certain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requirements applicable to certain communications with consumers may adversely impact our ability to generate leads for professionals</w:t>
      </w:r>
      <w:r>
        <w:rPr>
          <w:rFonts w:ascii="Times New Roman" w:cs="Times New Roman" w:eastAsia="Times New Roman" w:hAnsi="Times New Roman"/>
          <w:sz w:val="18"/>
          <w:szCs w:val="18"/>
          <w:color w:val="000000"/>
        </w:rPr>
        <w:t>.”</w:t>
      </w:r>
    </w:p>
    <w:p>
      <w:pPr>
        <w:spacing w:after="0" w:line="184"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In addition, we also are subject to various other federal, state, and local laws, rules and regulations focused on consumer protection. These laws, rules and regulations are enforced by governmental entities such as the FTC and state Attorneys General offices and may confer private rights of action on</w:t>
      </w:r>
    </w:p>
    <w:p>
      <w:pPr>
        <w:ind w:right="640"/>
        <w:spacing w:after="0" w:line="266" w:lineRule="auto"/>
        <w:rPr>
          <w:sz w:val="20"/>
          <w:szCs w:val="20"/>
          <w:color w:val="auto"/>
        </w:rPr>
      </w:pPr>
      <w:r>
        <w:rPr>
          <w:rFonts w:ascii="Times New Roman" w:cs="Times New Roman" w:eastAsia="Times New Roman" w:hAnsi="Times New Roman"/>
          <w:sz w:val="18"/>
          <w:szCs w:val="18"/>
          <w:color w:val="auto"/>
        </w:rPr>
        <w:t>consumers as well. Changes in these laws, or a proceeding of this nature, could have an adverse effect on us due to legal costs, impacts on business operations, diversion of management resources, negative publicity, and other factors.</w:t>
      </w:r>
    </w:p>
    <w:p>
      <w:pPr>
        <w:spacing w:after="0" w:line="162" w:lineRule="exact"/>
        <w:rPr>
          <w:sz w:val="20"/>
          <w:szCs w:val="20"/>
          <w:color w:val="auto"/>
        </w:rPr>
      </w:pPr>
    </w:p>
    <w:p>
      <w:pPr>
        <w:ind w:right="140" w:firstLine="360"/>
        <w:spacing w:after="0" w:line="241" w:lineRule="auto"/>
        <w:rPr>
          <w:sz w:val="20"/>
          <w:szCs w:val="20"/>
          <w:color w:val="auto"/>
        </w:rPr>
      </w:pPr>
      <w:r>
        <w:rPr>
          <w:rFonts w:ascii="Times New Roman" w:cs="Times New Roman" w:eastAsia="Times New Roman" w:hAnsi="Times New Roman"/>
          <w:sz w:val="18"/>
          <w:szCs w:val="18"/>
          <w:color w:val="auto"/>
        </w:rPr>
        <w:t>We are also sensitive to the adoption of new tax laws. The European Commission and several European countries have adopted (or intend to adopt) proposals that impact various aspects of the current tax framework under which certain of our European businesses are taxed, including new types of non-income taxes (including digital services taxes in the United Kingdom and Italy, which are based on a percentage of revenue and tied to where consumers are located). Certain of our businesses are subject to digital services taxes in one or more of the jurisdictions listed above and similar proposed tax laws could adversely affect our business, financial condition and results of operations. In addition, certain U.S. states have adopted or are considering the adoption of similar laws applicable to revenue attributable to digital advertising and other forms of digital commerce.</w:t>
      </w:r>
    </w:p>
    <w:p>
      <w:pPr>
        <w:spacing w:after="0" w:line="170" w:lineRule="exact"/>
        <w:rPr>
          <w:sz w:val="20"/>
          <w:szCs w:val="20"/>
          <w:color w:val="auto"/>
        </w:rPr>
      </w:pPr>
    </w:p>
    <w:p>
      <w:pPr>
        <w:ind w:firstLine="360"/>
        <w:spacing w:after="0" w:line="239" w:lineRule="auto"/>
        <w:rPr>
          <w:sz w:val="20"/>
          <w:szCs w:val="20"/>
          <w:color w:val="auto"/>
        </w:rPr>
      </w:pPr>
      <w:r>
        <w:rPr>
          <w:rFonts w:ascii="Times New Roman" w:cs="Times New Roman" w:eastAsia="Times New Roman" w:hAnsi="Times New Roman"/>
          <w:sz w:val="18"/>
          <w:szCs w:val="18"/>
          <w:color w:val="auto"/>
        </w:rPr>
        <w:t>In addition, primarily in the case of certain businesses within our Angi segment, we are sensitive to the adoption of worker classification laws, specifically, laws that could effectively require us to change the classification of certain professionals from independent contractors to employees. The Angi businesses sensitive to these laws continue to monitor such laws to ensure compliance and if they are required to reclassify professionals from independent contractors to employees and/or the classification of professionals as independent contractors is challenged for any reason, we could be exposed to various liabilities and additional costs for prior and future periods, including exposure under federal, state and local tax laws, workers’ compensation and unemployment benefits, minimum and overtime wage laws and other labor and employment laws, as well as potential liability for penalties and interest. If the amounts related to such liabilities and additional costs are significant, our business, financial condition and results of operations could be adversely affected. See “</w:t>
      </w:r>
      <w:r>
        <w:rPr>
          <w:rFonts w:ascii="Times New Roman" w:cs="Times New Roman" w:eastAsia="Times New Roman" w:hAnsi="Times New Roman"/>
          <w:sz w:val="18"/>
          <w:szCs w:val="18"/>
          <w:u w:val="single" w:color="auto"/>
          <w:color w:val="0000FF"/>
        </w:rPr>
        <w:t>Item 8 — Financial Statements and Supplementary Data — Note 15 — Contingencies</w:t>
      </w:r>
      <w:r>
        <w:rPr>
          <w:rFonts w:ascii="Times New Roman" w:cs="Times New Roman" w:eastAsia="Times New Roman" w:hAnsi="Times New Roman"/>
          <w:sz w:val="18"/>
          <w:szCs w:val="18"/>
          <w:color w:val="auto"/>
        </w:rPr>
        <w:t>.”</w:t>
      </w:r>
    </w:p>
    <w:p>
      <w:pPr>
        <w:spacing w:after="0" w:line="201" w:lineRule="exact"/>
        <w:rPr>
          <w:sz w:val="20"/>
          <w:szCs w:val="20"/>
          <w:color w:val="auto"/>
        </w:rPr>
      </w:pPr>
    </w:p>
    <w:p>
      <w:pPr>
        <w:ind w:right="100" w:firstLine="360"/>
        <w:spacing w:after="0" w:line="266" w:lineRule="auto"/>
        <w:rPr>
          <w:sz w:val="20"/>
          <w:szCs w:val="20"/>
          <w:color w:val="auto"/>
        </w:rPr>
      </w:pPr>
      <w:r>
        <w:rPr>
          <w:rFonts w:ascii="Times New Roman" w:cs="Times New Roman" w:eastAsia="Times New Roman" w:hAnsi="Times New Roman"/>
          <w:sz w:val="18"/>
          <w:szCs w:val="18"/>
          <w:color w:val="auto"/>
        </w:rPr>
        <w:t>We are also subject to new laws and regulations being considered and adopted by various state legislatures and federal agencies that regulate the use and disclosure of artificial intelligence (“AI”). Such laws and regulations could adversely impact our ability to effectively incorporate AI into our products and services and/or make it more difficult to transparently market such products and services that incorporate AI.</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9" w:name="page20"/>
    <w:bookmarkEnd w:id="19"/>
    <w:p>
      <w:pPr>
        <w:ind w:right="20" w:firstLine="360"/>
        <w:spacing w:after="0" w:line="245" w:lineRule="auto"/>
        <w:rPr>
          <w:sz w:val="20"/>
          <w:szCs w:val="20"/>
          <w:color w:val="auto"/>
        </w:rPr>
      </w:pPr>
      <w:r>
        <w:rPr>
          <w:rFonts w:ascii="Times New Roman" w:cs="Times New Roman" w:eastAsia="Times New Roman" w:hAnsi="Times New Roman"/>
          <w:sz w:val="18"/>
          <w:szCs w:val="18"/>
          <w:color w:val="auto"/>
        </w:rPr>
        <w:t>In addition, we may become subject to various climate disclosure regimes regulating the disclosure of greenhouse gas emissions and related information, such as the European Union’s Corporate Sustainability Reporting Directive and California’s Climate Corporate Data Accountability Act and Climate Related Financial Risk Act. The interpretation and enforcement of such climate disclosure regimes remains uncertain, and compliance may require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investment of significant resources, increase our costs, disrupt our business operations and pose reputational and other risks</w:t>
      </w:r>
      <w:r>
        <w:rPr>
          <w:rFonts w:ascii="Times New Roman" w:cs="Times New Roman" w:eastAsia="Times New Roman" w:hAnsi="Times New Roman"/>
          <w:sz w:val="21"/>
          <w:szCs w:val="21"/>
          <w:color w:val="auto"/>
        </w:rPr>
        <w:t>.</w:t>
      </w:r>
    </w:p>
    <w:p>
      <w:pPr>
        <w:spacing w:after="0" w:line="189" w:lineRule="exact"/>
        <w:rPr>
          <w:sz w:val="20"/>
          <w:szCs w:val="20"/>
          <w:color w:val="auto"/>
        </w:rPr>
      </w:pPr>
    </w:p>
    <w:p>
      <w:pPr>
        <w:ind w:right="220" w:firstLine="360"/>
        <w:spacing w:after="0" w:line="296" w:lineRule="auto"/>
        <w:rPr>
          <w:sz w:val="20"/>
          <w:szCs w:val="20"/>
          <w:color w:val="auto"/>
        </w:rPr>
      </w:pPr>
      <w:r>
        <w:rPr>
          <w:rFonts w:ascii="Times New Roman" w:cs="Times New Roman" w:eastAsia="Times New Roman" w:hAnsi="Times New Roman"/>
          <w:sz w:val="17"/>
          <w:szCs w:val="17"/>
          <w:color w:val="auto"/>
        </w:rPr>
        <w:t>Lastly, as a company based in the U.S. with foreign offices in various jurisdictions worldwide, we are subject to a variety of foreign laws governing the foreign operations of its various businesses, as well as U.S. laws that restrict trade and certain practices, such as the Foreign Corrupt Practices Act.</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9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16" w:lineRule="exact"/>
        <w:rPr>
          <w:sz w:val="20"/>
          <w:szCs w:val="20"/>
          <w:color w:val="auto"/>
        </w:rPr>
      </w:pPr>
    </w:p>
    <w:p>
      <w:pPr>
        <w:ind w:firstLine="360"/>
        <w:spacing w:after="0" w:line="239" w:lineRule="auto"/>
        <w:rPr>
          <w:sz w:val="20"/>
          <w:szCs w:val="20"/>
          <w:color w:val="auto"/>
        </w:rPr>
      </w:pPr>
      <w:r>
        <w:rPr>
          <w:rFonts w:ascii="Times New Roman" w:cs="Times New Roman" w:eastAsia="Times New Roman" w:hAnsi="Times New Roman"/>
          <w:sz w:val="18"/>
          <w:szCs w:val="18"/>
          <w:color w:val="auto"/>
        </w:rPr>
        <w:t>IAC’s future success depends upon our continued ability to identify, hire, develop, motivate and retain a highly skilled and diverse workforce across our various businesses worldwide. While policies and practices related to the identification, hiring, development, motivation and retention of employees vary across IAC and our various businesses, at their core, such policies and practices are generally designed to: (i) increase long-term IAC stockholder value by attracting, retaining, motivating and rewarding employees with the competence, character, experience, diversity of perspective and ambition necessary to enable the Company to meet its growth objectives, (ii) encourage and support the professional development of, and engender loyalty among, employees who have demonstrated the strength, vision and determination necessary to overcome obstacles and unlock their true professional potential by providing them with appropriate opportunities within IAC and our businesses and (iii) help foster a diverse, inclusive and entrepreneurial culture across our various businesses.</w:t>
      </w:r>
    </w:p>
    <w:p>
      <w:pPr>
        <w:spacing w:after="0" w:line="187" w:lineRule="exact"/>
        <w:rPr>
          <w:sz w:val="20"/>
          <w:szCs w:val="20"/>
          <w:color w:val="auto"/>
        </w:rPr>
      </w:pPr>
    </w:p>
    <w:p>
      <w:pPr>
        <w:ind w:right="240" w:firstLine="360"/>
        <w:spacing w:after="0" w:line="250" w:lineRule="auto"/>
        <w:rPr>
          <w:sz w:val="20"/>
          <w:szCs w:val="20"/>
          <w:color w:val="auto"/>
        </w:rPr>
      </w:pPr>
      <w:r>
        <w:rPr>
          <w:rFonts w:ascii="Times New Roman" w:cs="Times New Roman" w:eastAsia="Times New Roman" w:hAnsi="Times New Roman"/>
          <w:sz w:val="18"/>
          <w:szCs w:val="18"/>
          <w:color w:val="auto"/>
        </w:rPr>
        <w:t>In order to achieve these objectives, we believe that we must continue to provide competitive compensation packages and otherwise incentivize employees in unique and attractive ways, as well as develop and promote talent from within and remain committed to building inclusive workplaces and workforces that reflect the diversity of the global population using our products and services each day.</w:t>
      </w:r>
    </w:p>
    <w:p>
      <w:pPr>
        <w:spacing w:after="0" w:line="177" w:lineRule="exact"/>
        <w:rPr>
          <w:sz w:val="20"/>
          <w:szCs w:val="20"/>
          <w:color w:val="auto"/>
        </w:rPr>
      </w:pPr>
    </w:p>
    <w:p>
      <w:pPr>
        <w:ind w:right="100" w:firstLine="360"/>
        <w:spacing w:after="0" w:line="250" w:lineRule="auto"/>
        <w:rPr>
          <w:sz w:val="20"/>
          <w:szCs w:val="20"/>
          <w:color w:val="auto"/>
        </w:rPr>
      </w:pPr>
      <w:r>
        <w:rPr>
          <w:rFonts w:ascii="Times New Roman" w:cs="Times New Roman" w:eastAsia="Times New Roman" w:hAnsi="Times New Roman"/>
          <w:sz w:val="18"/>
          <w:szCs w:val="18"/>
          <w:color w:val="auto"/>
        </w:rPr>
        <w:t>As of December 31, 2024, IAC had approximately 8,300 employees, substantially all of whom were full-time employees and the substantial majority of whom were based in the United States.</w:t>
      </w:r>
    </w:p>
    <w:p>
      <w:pPr>
        <w:spacing w:after="0" w:line="17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Compensation and Benefits</w:t>
      </w:r>
    </w:p>
    <w:p>
      <w:pPr>
        <w:spacing w:after="0" w:line="216" w:lineRule="exact"/>
        <w:rPr>
          <w:sz w:val="20"/>
          <w:szCs w:val="20"/>
          <w:color w:val="auto"/>
        </w:rPr>
      </w:pPr>
    </w:p>
    <w:p>
      <w:pPr>
        <w:ind w:right="140" w:firstLine="360"/>
        <w:spacing w:after="0" w:line="250" w:lineRule="auto"/>
        <w:rPr>
          <w:sz w:val="20"/>
          <w:szCs w:val="20"/>
          <w:color w:val="auto"/>
        </w:rPr>
      </w:pPr>
      <w:r>
        <w:rPr>
          <w:rFonts w:ascii="Times New Roman" w:cs="Times New Roman" w:eastAsia="Times New Roman" w:hAnsi="Times New Roman"/>
          <w:sz w:val="18"/>
          <w:szCs w:val="18"/>
          <w:color w:val="auto"/>
        </w:rPr>
        <w:t>We believe that we must continue to provide competitive compensation packages and other benefits to our workforce. While compensation packages vary across IAC and our various businesses, compensation packages generally consist of base salary (plus commissions in the case of sales and other similar positions) and, on a discretionary basis, annual cash bonuses (and in certain cases, equity or equity-based awards).</w:t>
      </w:r>
    </w:p>
    <w:p>
      <w:pPr>
        <w:spacing w:after="0" w:line="177" w:lineRule="exact"/>
        <w:rPr>
          <w:sz w:val="20"/>
          <w:szCs w:val="20"/>
          <w:color w:val="auto"/>
        </w:rPr>
      </w:pPr>
    </w:p>
    <w:p>
      <w:pPr>
        <w:ind w:right="440" w:firstLine="360"/>
        <w:spacing w:after="0" w:line="266" w:lineRule="auto"/>
        <w:rPr>
          <w:sz w:val="20"/>
          <w:szCs w:val="20"/>
          <w:color w:val="auto"/>
        </w:rPr>
      </w:pPr>
      <w:r>
        <w:rPr>
          <w:rFonts w:ascii="Times New Roman" w:cs="Times New Roman" w:eastAsia="Times New Roman" w:hAnsi="Times New Roman"/>
          <w:sz w:val="18"/>
          <w:szCs w:val="18"/>
          <w:color w:val="auto"/>
        </w:rPr>
        <w:t>We also provide comprehensive health, welfare and retirement benefits. Healthcare benefits are significantly subsidized by the Company and the coverage provided reflects our commitment to inclusivity and the physical and mental well-being of all employees.</w:t>
      </w:r>
    </w:p>
    <w:p>
      <w:pPr>
        <w:spacing w:after="0" w:line="162" w:lineRule="exact"/>
        <w:rPr>
          <w:sz w:val="20"/>
          <w:szCs w:val="20"/>
          <w:color w:val="auto"/>
        </w:rPr>
      </w:pPr>
    </w:p>
    <w:p>
      <w:pPr>
        <w:ind w:firstLine="360"/>
        <w:spacing w:after="0" w:line="242" w:lineRule="auto"/>
        <w:rPr>
          <w:sz w:val="20"/>
          <w:szCs w:val="20"/>
          <w:color w:val="auto"/>
        </w:rPr>
      </w:pPr>
      <w:r>
        <w:rPr>
          <w:rFonts w:ascii="Times New Roman" w:cs="Times New Roman" w:eastAsia="Times New Roman" w:hAnsi="Times New Roman"/>
          <w:sz w:val="18"/>
          <w:szCs w:val="18"/>
          <w:color w:val="auto"/>
        </w:rPr>
        <w:t>In the case of welfare benefits, we maintain generous paid time off and paid leave policies across our businesses and offer subsidized backup child and elder care for our employees. We believe in giving back to the causes and charities that are important to our employees and match charitable contributions made by our employees to qualifying charities on a dollar-for-dollar basis, subject to an annual cap per employee. We also encourage our employees to support the communities in which they live and work and provide our employees with paid time off each year to volunteer for charitable and community service projects.</w:t>
      </w:r>
    </w:p>
    <w:p>
      <w:pPr>
        <w:spacing w:after="0" w:line="185" w:lineRule="exact"/>
        <w:rPr>
          <w:sz w:val="20"/>
          <w:szCs w:val="20"/>
          <w:color w:val="auto"/>
        </w:rPr>
      </w:pPr>
    </w:p>
    <w:p>
      <w:pPr>
        <w:ind w:right="120" w:firstLine="360"/>
        <w:spacing w:after="0"/>
        <w:rPr>
          <w:sz w:val="20"/>
          <w:szCs w:val="20"/>
          <w:color w:val="auto"/>
        </w:rPr>
      </w:pPr>
      <w:r>
        <w:rPr>
          <w:rFonts w:ascii="Times New Roman" w:cs="Times New Roman" w:eastAsia="Times New Roman" w:hAnsi="Times New Roman"/>
          <w:sz w:val="18"/>
          <w:szCs w:val="18"/>
          <w:color w:val="auto"/>
        </w:rPr>
        <w:t>In the case of retirement benefits, in the U.S. we offer our employees a 401(k) retirement savings program with generous employer matching contributions, subject to an annual cap per employee. We believe that we have a responsibility to encourage (and contribute to) the retirement readiness of each of our employees and believe that this generous 401(k) retirement savings program matching contribution is a meaningful commitment to the long-term welfare and security of our workforce.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0" w:name="page21"/>
    <w:bookmarkEnd w:id="20"/>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Talent Development</w:t>
      </w:r>
    </w:p>
    <w:p>
      <w:pPr>
        <w:spacing w:after="0" w:line="216" w:lineRule="exact"/>
        <w:rPr>
          <w:sz w:val="20"/>
          <w:szCs w:val="20"/>
          <w:color w:val="auto"/>
        </w:rPr>
      </w:pPr>
    </w:p>
    <w:p>
      <w:pPr>
        <w:ind w:firstLine="360"/>
        <w:spacing w:after="0" w:line="245" w:lineRule="auto"/>
        <w:rPr>
          <w:sz w:val="20"/>
          <w:szCs w:val="20"/>
          <w:color w:val="auto"/>
        </w:rPr>
      </w:pPr>
      <w:r>
        <w:rPr>
          <w:rFonts w:ascii="Times New Roman" w:cs="Times New Roman" w:eastAsia="Times New Roman" w:hAnsi="Times New Roman"/>
          <w:sz w:val="18"/>
          <w:szCs w:val="18"/>
          <w:color w:val="auto"/>
        </w:rPr>
        <w:t>We generally aim to develop talent from within and supplement with external hires. As a result, senior management across the Company and our businesses generally possesses a great depth of knowledge and experience regarding the Company, with external hires providing a fresh perspective. The human resources teams across the Company and our businesses use internal and external resources to recruit highly skilled, talented and diverse employees, and employee referrals for open positions are encouraged.</w:t>
      </w:r>
    </w:p>
    <w:p>
      <w:pPr>
        <w:spacing w:after="0" w:line="181" w:lineRule="exact"/>
        <w:rPr>
          <w:sz w:val="20"/>
          <w:szCs w:val="20"/>
          <w:color w:val="auto"/>
        </w:rPr>
      </w:pPr>
    </w:p>
    <w:p>
      <w:pPr>
        <w:ind w:right="100" w:firstLine="360"/>
        <w:spacing w:after="0" w:line="237" w:lineRule="auto"/>
        <w:rPr>
          <w:sz w:val="20"/>
          <w:szCs w:val="20"/>
          <w:color w:val="auto"/>
        </w:rPr>
      </w:pPr>
      <w:r>
        <w:rPr>
          <w:rFonts w:ascii="Times New Roman" w:cs="Times New Roman" w:eastAsia="Times New Roman" w:hAnsi="Times New Roman"/>
          <w:sz w:val="18"/>
          <w:szCs w:val="18"/>
          <w:color w:val="auto"/>
        </w:rPr>
        <w:t>In addition, we actively seek to identify the next generation of leaders in technology early through the IAC Fellows program, a first-of-its-kind program connecting students from under-served and under-resourced backgrounds with academic and leadership opportunities. IAC Fellows join the program as early as high school and stay for up to six years, rotating across a diverse set of IAC businesses during that time in the form of competitively paid internships that put IAC Fellows in the trenches, testing their skills in real world scenarios. Through these experiences, IAC Fellows gain exposure to different business models, functions and roles within IAC, as well as access to IAC senior leadership as mentors and coaches. IAC Fellows also receive an academic stipend following the completion of each paid internship. For those IAC Fellows hired by IAC or any of its businesses following the completion of their paid internships and who stay for a period of three years, IAC will pay off the entirety of their school loans.</w:t>
      </w:r>
    </w:p>
    <w:p>
      <w:pPr>
        <w:spacing w:after="0" w:line="189" w:lineRule="exact"/>
        <w:rPr>
          <w:sz w:val="20"/>
          <w:szCs w:val="20"/>
          <w:color w:val="auto"/>
        </w:rPr>
      </w:pPr>
    </w:p>
    <w:p>
      <w:pPr>
        <w:ind w:right="60" w:firstLine="360"/>
        <w:spacing w:after="0" w:line="264" w:lineRule="auto"/>
        <w:rPr>
          <w:sz w:val="20"/>
          <w:szCs w:val="20"/>
          <w:color w:val="auto"/>
        </w:rPr>
      </w:pPr>
      <w:r>
        <w:rPr>
          <w:rFonts w:ascii="Times New Roman" w:cs="Times New Roman" w:eastAsia="Times New Roman" w:hAnsi="Times New Roman"/>
          <w:sz w:val="17"/>
          <w:szCs w:val="17"/>
          <w:color w:val="auto"/>
        </w:rPr>
        <w:t>To be eligible for the IAC Fellows program, applicants must be high-achieving students from historically and systematically underrepresented communities, with first-generation college students being given priority consideration. Students must be citizens or permanent residents of the U.S. and possess the following personal attributes: (i) leadership abilities, (ii) a strong interest in science, technology, computer science and/or math, (iii) demonstrated intellectual curiosity and devotion to study, (iv) a hunger to learn and achieve academically and (v) ethics, integrity and strength of character.</w:t>
      </w:r>
    </w:p>
    <w:p>
      <w:pPr>
        <w:spacing w:after="0" w:line="16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Lastly, through our charitable foundation, we award scholarships to high-achieving students who have a demonstrable need for financial assistance.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Recipients can use scholarships for various college-related expenses, such as tuition, course-related fees, books, supplies and equipment.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Company Website and Public Filings</w:t>
      </w:r>
    </w:p>
    <w:p>
      <w:pPr>
        <w:spacing w:after="0" w:line="200" w:lineRule="exact"/>
        <w:rPr>
          <w:sz w:val="20"/>
          <w:szCs w:val="20"/>
          <w:color w:val="auto"/>
        </w:rPr>
      </w:pPr>
    </w:p>
    <w:p>
      <w:pPr>
        <w:jc w:val="both"/>
        <w:ind w:right="20" w:firstLine="324"/>
        <w:spacing w:after="0" w:line="251" w:lineRule="auto"/>
        <w:rPr>
          <w:sz w:val="20"/>
          <w:szCs w:val="20"/>
          <w:color w:val="auto"/>
        </w:rPr>
      </w:pPr>
      <w:r>
        <w:rPr>
          <w:rFonts w:ascii="Times New Roman" w:cs="Times New Roman" w:eastAsia="Times New Roman" w:hAnsi="Times New Roman"/>
          <w:sz w:val="18"/>
          <w:szCs w:val="18"/>
          <w:color w:val="auto"/>
        </w:rPr>
        <w:t xml:space="preserve">The Company maintains a website at </w:t>
      </w:r>
      <w:r>
        <w:rPr>
          <w:rFonts w:ascii="Times New Roman" w:cs="Times New Roman" w:eastAsia="Times New Roman" w:hAnsi="Times New Roman"/>
          <w:sz w:val="18"/>
          <w:szCs w:val="18"/>
          <w:i w:val="1"/>
          <w:iCs w:val="1"/>
          <w:color w:val="auto"/>
        </w:rPr>
        <w:t>www.iac.com</w:t>
      </w:r>
      <w:r>
        <w:rPr>
          <w:rFonts w:ascii="Times New Roman" w:cs="Times New Roman" w:eastAsia="Times New Roman" w:hAnsi="Times New Roman"/>
          <w:sz w:val="18"/>
          <w:szCs w:val="18"/>
          <w:color w:val="auto"/>
        </w:rPr>
        <w:t>. Neither the information on the Company’s website, nor the information on the website of any IAC business, is incorporated by reference into this annual report, or into any other filings with, or into any other information furnished or submitted to, the U.S. Securities and Exchange Commission (the “SEC”).</w:t>
      </w:r>
    </w:p>
    <w:p>
      <w:pPr>
        <w:spacing w:after="0" w:line="176" w:lineRule="exact"/>
        <w:rPr>
          <w:sz w:val="20"/>
          <w:szCs w:val="20"/>
          <w:color w:val="auto"/>
        </w:rPr>
      </w:pPr>
    </w:p>
    <w:p>
      <w:pPr>
        <w:ind w:right="20" w:firstLine="324"/>
        <w:spacing w:after="0" w:line="250" w:lineRule="auto"/>
        <w:rPr>
          <w:sz w:val="20"/>
          <w:szCs w:val="20"/>
          <w:color w:val="auto"/>
        </w:rPr>
      </w:pPr>
      <w:r>
        <w:rPr>
          <w:rFonts w:ascii="Times New Roman" w:cs="Times New Roman" w:eastAsia="Times New Roman" w:hAnsi="Times New Roman"/>
          <w:sz w:val="18"/>
          <w:szCs w:val="18"/>
          <w:color w:val="auto"/>
        </w:rPr>
        <w:t xml:space="preserve">The Company makes available, free of charge through its website, its annual reports on Form 10-K, quarterly reports on Form 10-Q and current reports on Form 8-K (including related amendments) as soon as reasonably practicable after they have been electronically filed with (or furnished to) the SEC. These reports (including related amendments) are also available at the SEC's website,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Code of Business Conduct and Ethics</w:t>
      </w:r>
    </w:p>
    <w:p>
      <w:pPr>
        <w:spacing w:after="0" w:line="216" w:lineRule="exact"/>
        <w:rPr>
          <w:sz w:val="20"/>
          <w:szCs w:val="20"/>
          <w:color w:val="auto"/>
        </w:rPr>
      </w:pPr>
    </w:p>
    <w:p>
      <w:pPr>
        <w:ind w:right="80" w:firstLine="324"/>
        <w:spacing w:after="0" w:line="242" w:lineRule="auto"/>
        <w:rPr>
          <w:sz w:val="20"/>
          <w:szCs w:val="20"/>
          <w:color w:val="auto"/>
        </w:rPr>
      </w:pPr>
      <w:r>
        <w:rPr>
          <w:rFonts w:ascii="Times New Roman" w:cs="Times New Roman" w:eastAsia="Times New Roman" w:hAnsi="Times New Roman"/>
          <w:sz w:val="18"/>
          <w:szCs w:val="18"/>
          <w:color w:val="auto"/>
        </w:rPr>
        <w:t xml:space="preserve">The Company’s Code of Business Conduct and Ethics applies to all of our employees (including IAC’s principal executive officers, principal financial officer and principal accounting officer) and directors and is posted on the Investor Relations section of the Company’s website at </w:t>
      </w:r>
      <w:r>
        <w:rPr>
          <w:rFonts w:ascii="Times New Roman" w:cs="Times New Roman" w:eastAsia="Times New Roman" w:hAnsi="Times New Roman"/>
          <w:sz w:val="18"/>
          <w:szCs w:val="18"/>
          <w:i w:val="1"/>
          <w:iCs w:val="1"/>
          <w:color w:val="auto"/>
        </w:rPr>
        <w:t>ir.iac.com</w:t>
      </w:r>
      <w:r>
        <w:rPr>
          <w:rFonts w:ascii="Times New Roman" w:cs="Times New Roman" w:eastAsia="Times New Roman" w:hAnsi="Times New Roman"/>
          <w:sz w:val="18"/>
          <w:szCs w:val="18"/>
          <w:color w:val="auto"/>
        </w:rPr>
        <w:t xml:space="preserve"> under the “Code of Conduct” tab. This code complies with Item 406 of Regulation S-K and the rules of The Nasdaq Stock Market LLC. Any changes to this code that affect the provisions required by Item 406 of Regulation S-K (and any waivers of such provisions for IAC’s principal executive officers, principal financial officer, principal accounting officer and directors) will also be disclosed on IAC’s website.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1" w:name="page22"/>
    <w:bookmarkEnd w:id="21"/>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Information</w:t>
      </w:r>
    </w:p>
    <w:p>
      <w:pPr>
        <w:spacing w:after="0" w:line="188" w:lineRule="exact"/>
        <w:rPr>
          <w:sz w:val="20"/>
          <w:szCs w:val="20"/>
          <w:color w:val="auto"/>
        </w:rPr>
      </w:pPr>
    </w:p>
    <w:p>
      <w:pPr>
        <w:ind w:right="20" w:firstLine="324"/>
        <w:spacing w:after="0" w:line="220" w:lineRule="exact"/>
        <w:rPr>
          <w:sz w:val="20"/>
          <w:szCs w:val="20"/>
          <w:color w:val="auto"/>
        </w:rPr>
      </w:pPr>
      <w:r>
        <w:rPr>
          <w:rFonts w:ascii="Times New Roman" w:cs="Times New Roman" w:eastAsia="Times New Roman" w:hAnsi="Times New Roman"/>
          <w:sz w:val="18"/>
          <w:szCs w:val="18"/>
          <w:color w:val="auto"/>
        </w:rPr>
        <w:t>This annual report on Form 10-K contains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within the meaning of the Private Securities Litigation Reform Act of 1995. The use of words such as “anticipates,” “estimates,” “expects,” “plans” and “believes,” among others, generally identify forward-looking statements. These forward-looking statements include, among others, statements relating to: IAC’s future financial performance, IAC’s business prospects and strategy, anticipated trends and prospects in the industries in which IAC’s businesses operate and other similar matters. These forward-looking statements are based on IAC management’s expectations and assumptions about future events as of the date of this annual report, which are inherently subject to uncertainties, risks and changes in circumstances that are difficult to predict.</w:t>
      </w:r>
    </w:p>
    <w:p>
      <w:pPr>
        <w:spacing w:after="0" w:line="157" w:lineRule="exact"/>
        <w:rPr>
          <w:sz w:val="20"/>
          <w:szCs w:val="20"/>
          <w:color w:val="auto"/>
        </w:rPr>
      </w:pPr>
    </w:p>
    <w:p>
      <w:pPr>
        <w:ind w:right="180" w:firstLine="324"/>
        <w:spacing w:after="0" w:line="223" w:lineRule="exact"/>
        <w:rPr>
          <w:sz w:val="20"/>
          <w:szCs w:val="20"/>
          <w:color w:val="auto"/>
        </w:rPr>
      </w:pPr>
      <w:r>
        <w:rPr>
          <w:rFonts w:ascii="Times New Roman" w:cs="Times New Roman" w:eastAsia="Times New Roman" w:hAnsi="Times New Roman"/>
          <w:sz w:val="18"/>
          <w:szCs w:val="18"/>
          <w:color w:val="auto"/>
        </w:rPr>
        <w:t>Actual results could differ materially from those contained in these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for a variety of reasons, including, among others, the risk factors set forth below. Other unknown or unpredictable factors that could also adversely affect IAC’s business, financial condition and results of operations may arise from time to time. In light of these risks and uncertainties, the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discussed in this annual report may not prove to be accurate. Accordingly, you should not place undue reliance on these forward-looking statements, which only reflect the views of IAC management as of the date of this annual report. IAC does not undertake to update these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16"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described in this Item 1A. These risks include, but are not limited to the following:</w:t>
      </w:r>
    </w:p>
    <w:p>
      <w:pPr>
        <w:spacing w:after="0" w:line="176"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efforts designed to drive visitors to our various brands and businesses may not be successful or cost-effective.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search engines to drive traffic to our various properties.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our businesses depend upon arrangements with Google.</w:t>
      </w:r>
    </w:p>
    <w:p>
      <w:pPr>
        <w:spacing w:after="0" w:line="117"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usage and functioning of search engines related to GAI technology, related disruption to marketing technologies and platforms and use of our content by GAI chatbots could adversely impact our business, financial condition and results of operations.</w:t>
      </w:r>
    </w:p>
    <w:p>
      <w:pPr>
        <w:spacing w:after="0" w:line="53"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in part, on our continued ability to develop and monetize versions of our products and services for mobile and other digital devices.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in part, on the ability of our Digital business to successfully expand the digital reach of our portfolio of publishing brands.</w:t>
      </w:r>
    </w:p>
    <w:p>
      <w:pPr>
        <w:spacing w:after="0" w:line="117" w:lineRule="exact"/>
        <w:rPr>
          <w:rFonts w:ascii="Times New Roman" w:cs="Times New Roman" w:eastAsia="Times New Roman" w:hAnsi="Times New Roman"/>
          <w:sz w:val="18"/>
          <w:szCs w:val="18"/>
          <w:color w:val="auto"/>
        </w:rPr>
      </w:pPr>
    </w:p>
    <w:p>
      <w:pPr>
        <w:ind w:left="660" w:right="94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in part, on the ability of Angi and Care.com to establish and maintain relationships with quality and trustworthy professionals and caregivers.</w:t>
      </w:r>
    </w:p>
    <w:p>
      <w:pPr>
        <w:spacing w:after="0" w:line="6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3"/>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18"/>
          <w:szCs w:val="18"/>
          <w:color w:val="auto"/>
        </w:rPr>
        <w:t>Our success depends, in part, on the ability of Angi to balance their various offerings to professionals across the Angi platforms.</w:t>
      </w:r>
    </w:p>
    <w:p>
      <w:pPr>
        <w:spacing w:after="0" w:line="107" w:lineRule="exact"/>
        <w:rPr>
          <w:rFonts w:ascii="Times New Roman" w:cs="Times New Roman" w:eastAsia="Times New Roman" w:hAnsi="Times New Roman"/>
          <w:sz w:val="20"/>
          <w:szCs w:val="20"/>
          <w:b w:val="1"/>
          <w:bCs w:val="1"/>
          <w:i w:val="1"/>
          <w:iCs w:val="1"/>
          <w:color w:val="auto"/>
        </w:rPr>
      </w:pPr>
    </w:p>
    <w:p>
      <w:pPr>
        <w:ind w:left="6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certain requirements applicable to certain communications with consumers may adversely impact the ability of our Angi businesses to generate leads for professionals.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in part, on our ability to access, collect and use personal data about our users and subscribers.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engage directly with our users, subscribers, consumers, professionals and caregivers on a timely basis is critical to our success.</w:t>
      </w:r>
    </w:p>
    <w:p>
      <w:pPr>
        <w:spacing w:after="0" w:line="117"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Diller and certain members of his family are able to exercise significant influence over the composition of IAC’s board of directors, matters subject to stockholder approval and IAC’s operations.</w:t>
      </w:r>
    </w:p>
    <w:p>
      <w:pPr>
        <w:spacing w:after="0" w:line="53"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and future indebtedness could affect our ability to operate our business, which could have a material adverse effect on our business, financial condition and results of operations.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generate sufficient cash to service all of our indebtedness.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freely access the cash of Dotdash Meredith and/or Angi and their respective subsidiaries.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3" w:right="359" w:bottom="1440" w:gutter="0" w:footer="0" w:header="0"/>
        </w:sectPr>
      </w:pPr>
    </w:p>
    <w:bookmarkStart w:id="22" w:name="page23"/>
    <w:bookmarkEnd w:id="22"/>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IAC and Angi may be unable to achieve some or all of the benefits that they expect to achieve as a result of the Distribution.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Distribution, IAC will be a smaller, less diversified company than IAC prior to the Distribution.</w:t>
      </w:r>
    </w:p>
    <w:p>
      <w:pPr>
        <w:spacing w:after="0" w:line="117"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Distribution fails to qualify as a transaction that is generally tax-free for U.S. federal income tax purposes, IAC, Angi and their respective stockholders could suffer material adverse consequences.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value of the IAC and Angi securities that current holders of IAC capital stock will hold after the Distribution could be less than the value of the IAC securities they held before the Distribution.</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businesses operate in especially competitive and evolving industries.</w:t>
      </w:r>
    </w:p>
    <w:p>
      <w:pPr>
        <w:spacing w:after="0" w:line="117"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sensitive to general economic events and trends, particularly those that adversely impact consumer confidence and spending behavior, as well as general geopolitical risks.</w:t>
      </w:r>
    </w:p>
    <w:p>
      <w:pPr>
        <w:spacing w:after="0" w:line="53"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protect our systems, technology and infrastructure from cybersecurity incidents or cybersecurity incidents experienced by third parties could adversely affect us.</w:t>
      </w:r>
    </w:p>
    <w:p>
      <w:pPr>
        <w:spacing w:after="0" w:line="53"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personal, confidential or sensitive user information is breached or otherwise accessed by unauthorized persons, it may be costly to mitigate and our reputation could be harmed.</w:t>
      </w:r>
    </w:p>
    <w:p>
      <w:pPr>
        <w:spacing w:after="0" w:line="53"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in part, on the integrity, quality, efficiency and scalability of our systems, technology and infrastructure, and those of third parties.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our key personnel.</w:t>
      </w:r>
    </w:p>
    <w:p>
      <w:pPr>
        <w:spacing w:after="0" w:line="104" w:lineRule="exact"/>
        <w:rPr>
          <w:sz w:val="20"/>
          <w:szCs w:val="20"/>
          <w:color w:val="auto"/>
        </w:rPr>
      </w:pPr>
    </w:p>
    <w:p>
      <w:pPr>
        <w:ind w:right="80" w:firstLine="324"/>
        <w:spacing w:after="0" w:line="245" w:lineRule="auto"/>
        <w:rPr>
          <w:sz w:val="20"/>
          <w:szCs w:val="20"/>
          <w:color w:val="auto"/>
        </w:rPr>
      </w:pPr>
      <w:r>
        <w:rPr>
          <w:rFonts w:ascii="Times New Roman" w:cs="Times New Roman" w:eastAsia="Times New Roman" w:hAnsi="Times New Roman"/>
          <w:sz w:val="18"/>
          <w:szCs w:val="18"/>
          <w:color w:val="auto"/>
        </w:rPr>
        <w:t>The summary risk factors described above should be read together with the text of the full risk factors below and the other information set forth in this annual report, including our consolidated financial statements and the related notes, as well as in other documents that we file with the SEC. The risks summarized above or described in full below are not the only risks that we face. Additional risks and uncertainties not precisely known to us or that we currently deem to be immaterial may also materially adversely affect our business, financial condition, results of operations and future growth prospects.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Related to Our Business, Operations and Ownership</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Marketing efforts designed to drive visitors to our various brands and businesses may not be successful or cost-effective.</w:t>
      </w:r>
    </w:p>
    <w:p>
      <w:pPr>
        <w:spacing w:after="0" w:line="216" w:lineRule="exact"/>
        <w:rPr>
          <w:sz w:val="20"/>
          <w:szCs w:val="20"/>
          <w:color w:val="auto"/>
        </w:rPr>
      </w:pPr>
    </w:p>
    <w:p>
      <w:pPr>
        <w:ind w:right="200" w:firstLine="360"/>
        <w:spacing w:after="0" w:line="237" w:lineRule="auto"/>
        <w:rPr>
          <w:sz w:val="20"/>
          <w:szCs w:val="20"/>
          <w:color w:val="auto"/>
        </w:rPr>
      </w:pPr>
      <w:r>
        <w:rPr>
          <w:rFonts w:ascii="Times New Roman" w:cs="Times New Roman" w:eastAsia="Times New Roman" w:hAnsi="Times New Roman"/>
          <w:sz w:val="18"/>
          <w:szCs w:val="18"/>
          <w:color w:val="auto"/>
        </w:rPr>
        <w:t>Traffic building and conversion initiatives involve considerable expenditures for online and offline advertising and marketing. We have made, and expect to continue to make, significant expenditures for search engine marketing (primarily in the form of the purchase of keywords, which we purchase primarily through Google and, to a lesser extent, Microsoft and Yahoo!), social media advertising and other online display advertising and traditional offline advertising (including television and radio campaigns) in connection with these initiatives, which may not be successful or cost-effective. Also, to continue to reach consumers and users, we will need to continue to identify and devote more of our overall marketing expenditures to newer digital advertising channels (such as online video, social media, streaming, OTT and other digital platforms), as well as target consumers and users via these channels in a cost-effective manner. As these channels continue to evolve relative to traditional channels (such as television), it could continue to be difficult to assess returns on related marketing investments. Historically, we have had to increase advertising and marketing expenditures over time to attract and convert consumers, retain users of our various products and services and sustain our growth.</w:t>
      </w:r>
    </w:p>
    <w:p>
      <w:pPr>
        <w:spacing w:after="0" w:line="185" w:lineRule="exact"/>
        <w:rPr>
          <w:sz w:val="20"/>
          <w:szCs w:val="20"/>
          <w:color w:val="auto"/>
        </w:rPr>
      </w:pPr>
    </w:p>
    <w:p>
      <w:pPr>
        <w:ind w:right="20" w:firstLine="360"/>
        <w:spacing w:after="0" w:line="237" w:lineRule="auto"/>
        <w:rPr>
          <w:sz w:val="20"/>
          <w:szCs w:val="20"/>
          <w:color w:val="auto"/>
        </w:rPr>
      </w:pPr>
      <w:r>
        <w:rPr>
          <w:rFonts w:ascii="Times New Roman" w:cs="Times New Roman" w:eastAsia="Times New Roman" w:hAnsi="Times New Roman"/>
          <w:sz w:val="18"/>
          <w:szCs w:val="18"/>
          <w:color w:val="auto"/>
        </w:rPr>
        <w:t>Our ability to market our brands and businesses on any given property or channel is generally subject to the policies of the relevant third-party seller, publisher (including search engines, web browsers and social media platforms with extraordinarily high levels of traffic and numbers of users) or marketing affiliate. As a result, we cannot be certain that these parties will not limit or prohibit us or our affiliate marketing partners from purchasing certain types of advertising (including the purchase by us of advertising with preferential placement or for certain of our products and services) or using one or more current or prospective marketing channels in the future. If a significant marketing channel took such an action generally, for a significant period of time or on a recurring basis, our business, financial condition and results of operations could be adversely affected. In addition, if we fail to comply with the policies of third-party sellers, publishers and marketing affiliates, our advertisements could be removed without notice or our accounts could be suspended or terminated, any of which could adversely affect our business, financial condition and results of operations. In addition, any phasing out (or blocking) of third-party cookies by web browsers could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3" w:name="page24"/>
    <w:bookmarkEnd w:id="23"/>
    <w:p>
      <w:pPr>
        <w:ind w:right="40" w:firstLine="360"/>
        <w:spacing w:after="0" w:line="236" w:lineRule="auto"/>
        <w:rPr>
          <w:sz w:val="20"/>
          <w:szCs w:val="20"/>
          <w:color w:val="auto"/>
        </w:rPr>
      </w:pPr>
      <w:r>
        <w:rPr>
          <w:rFonts w:ascii="Times New Roman" w:cs="Times New Roman" w:eastAsia="Times New Roman" w:hAnsi="Times New Roman"/>
          <w:sz w:val="18"/>
          <w:szCs w:val="18"/>
          <w:color w:val="auto"/>
        </w:rPr>
        <w:t>We rely heavily on free search engine marketing to drive traffic to our properties. The display, including rankings, of search results can be affected by a number of factors, many of which are not in our direct control, and may change frequently. Search engines have made changes in the past to their ranking algorithms, methodologies and design layouts that have reduced the prominence of links to websites offering our products and services and negatively impacted traffic to such websites, and we expect that search engines will continue to make such changes from time to time in the future. However, we may not know how (or otherwise be in a position) to influence actions of this nature taken by search engines. With respect to search results in particular, even when search engines announce the details of their methodologies, their parameters may change from time to time, be poorly defined or be inconsistently interpreted. In addition, changes in the usage and functioning of search engines or decreases in consumer use of search engines could negatively impact IAC’s ability to drive traffic to its properties. For example, as a result of the continued development of AI technology, search engines now have the ability to create customized search engine results pages that display AI-generated answers for users, which could result in our products and services not being displayed prominently, or at all.</w:t>
      </w:r>
    </w:p>
    <w:p>
      <w:pPr>
        <w:spacing w:after="0" w:line="219" w:lineRule="exact"/>
        <w:rPr>
          <w:sz w:val="20"/>
          <w:szCs w:val="20"/>
          <w:color w:val="auto"/>
        </w:rPr>
      </w:pPr>
    </w:p>
    <w:p>
      <w:pPr>
        <w:ind w:firstLine="360"/>
        <w:spacing w:after="0" w:line="238" w:lineRule="auto"/>
        <w:rPr>
          <w:sz w:val="20"/>
          <w:szCs w:val="20"/>
          <w:color w:val="auto"/>
        </w:rPr>
      </w:pPr>
      <w:r>
        <w:rPr>
          <w:rFonts w:ascii="Times New Roman" w:cs="Times New Roman" w:eastAsia="Times New Roman" w:hAnsi="Times New Roman"/>
          <w:sz w:val="18"/>
          <w:szCs w:val="18"/>
          <w:color w:val="auto"/>
        </w:rPr>
        <w:t>Our failure to respond successfully to rapid and frequent changes in the operating and pricing dynamics of search engines, as well as changing policies and guidelines applicable to keyword advertising and content quality (which may be unilaterally updated by search engines without advance notice) and any other changes in the usage and functioning of search engines (including decreased consumer use of search engines), could adversely affect our paid and free search engine marketing efforts. Specifically, such changes could adversely affect paid listings (both their placement and pricing), as well as the ranking or appearance of links to websites offering our products and services within search results, any or all of which could increase our marketing costs (particularly if free traffic is replaced with paid traffic) and adversely affect the effectiveness of our marketing efforts overall. In addition, the failure to respond successfully to the phasing out (or blocking) of third-party cookies by web browsers, as well as consumers increasingly choosing to use browsers that do not support third-party cookies, could also adversely affect the effectiveness of our marketing efforts at those of our businesses that rely on cookies as a meaningful part of their overall marketing strategy.</w:t>
      </w:r>
    </w:p>
    <w:p>
      <w:pPr>
        <w:spacing w:after="0" w:line="205" w:lineRule="exact"/>
        <w:rPr>
          <w:sz w:val="20"/>
          <w:szCs w:val="20"/>
          <w:color w:val="auto"/>
        </w:rPr>
      </w:pPr>
    </w:p>
    <w:p>
      <w:pPr>
        <w:jc w:val="both"/>
        <w:ind w:right="40" w:firstLine="360"/>
        <w:spacing w:after="0" w:line="260" w:lineRule="auto"/>
        <w:rPr>
          <w:sz w:val="20"/>
          <w:szCs w:val="20"/>
          <w:color w:val="auto"/>
        </w:rPr>
      </w:pPr>
      <w:r>
        <w:rPr>
          <w:rFonts w:ascii="Times New Roman" w:cs="Times New Roman" w:eastAsia="Times New Roman" w:hAnsi="Times New Roman"/>
          <w:sz w:val="17"/>
          <w:szCs w:val="17"/>
          <w:color w:val="auto"/>
        </w:rPr>
        <w:t>Lastly, in connection with the acquisition of traffic and leads directly from third parties, certain of our businesses also enter into various arrangements with such parties (including advertising and marketing firms) to drive traffic to their various brands and businesses and generate leads, which arrangements are generally more cost-effective than traditional marketing efforts. If these businesses are unable to renew existing (and enter into new) arrangements of</w:t>
      </w:r>
    </w:p>
    <w:p>
      <w:pPr>
        <w:spacing w:after="0" w:line="1" w:lineRule="exact"/>
        <w:rPr>
          <w:sz w:val="20"/>
          <w:szCs w:val="20"/>
          <w:color w:val="auto"/>
        </w:rPr>
      </w:pPr>
    </w:p>
    <w:p>
      <w:pPr>
        <w:ind w:right="180"/>
        <w:spacing w:after="0" w:line="241" w:lineRule="auto"/>
        <w:rPr>
          <w:sz w:val="20"/>
          <w:szCs w:val="20"/>
          <w:color w:val="auto"/>
        </w:rPr>
      </w:pPr>
      <w:r>
        <w:rPr>
          <w:rFonts w:ascii="Times New Roman" w:cs="Times New Roman" w:eastAsia="Times New Roman" w:hAnsi="Times New Roman"/>
          <w:sz w:val="18"/>
          <w:szCs w:val="18"/>
          <w:color w:val="auto"/>
        </w:rPr>
        <w:t>this nature, or such arrangements are no longer as beneficial due to developments in AI technology such as the ability to customize a search engine</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sales and marketing costs as a percentage of revenue would increase over the long-term, which could adversely affect our business, financial condition and results of operations. In addition, recent regulatory developments may make it more difficult for these businesses, particularly those within our Angi segment, to obtain traffic and leads by way of third-party affiliate relationships. See“ — Changes to certain requirements applicable to certain communications with consumers may adversely impact our ability to generate leads for professionals.</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 xml:space="preserve"> Lastly, in the case of traffic and leads acquired directly and generated through third-party affiliates, the quality, validity (from real users with genuine interest and, if applicable, otherwise acquired in a manner that complies with contractual obligations in place with paid listings providers or advertisers) and convertibility of such traffic and leads are dependent on many factors, most of which are generally outside of our control. If the quality, validity or convertibility of traffic and leads we acquire directly and/or via third-party affiliates do not meet the expectations of the users of our various products and services, our paid listings providers or advertisers (as well any third parties who may acquire such traffic or leads from our paid listings providers or advertisers), as applicable, our business, financial condition and results of operations could be adversely affected.</w:t>
      </w:r>
    </w:p>
    <w:p>
      <w:pPr>
        <w:spacing w:after="0" w:line="187" w:lineRule="exact"/>
        <w:rPr>
          <w:sz w:val="20"/>
          <w:szCs w:val="20"/>
          <w:color w:val="auto"/>
        </w:rPr>
      </w:pPr>
    </w:p>
    <w:p>
      <w:pPr>
        <w:ind w:right="22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rely on search engines to drive traffic to our various properties. Certain search engine operators offer products and services that compete directly with our products and services. If links to websites offering our products and services are not displayed prominently in search results, traffic to our properties could decline and our business could be adversely affected.</w:t>
      </w:r>
    </w:p>
    <w:p>
      <w:pPr>
        <w:spacing w:after="0" w:line="162" w:lineRule="exact"/>
        <w:rPr>
          <w:sz w:val="20"/>
          <w:szCs w:val="20"/>
          <w:color w:val="auto"/>
        </w:rPr>
      </w:pPr>
    </w:p>
    <w:p>
      <w:pPr>
        <w:ind w:right="60" w:firstLine="360"/>
        <w:spacing w:after="0" w:line="239" w:lineRule="auto"/>
        <w:rPr>
          <w:sz w:val="20"/>
          <w:szCs w:val="20"/>
          <w:color w:val="auto"/>
        </w:rPr>
      </w:pPr>
      <w:r>
        <w:rPr>
          <w:rFonts w:ascii="Times New Roman" w:cs="Times New Roman" w:eastAsia="Times New Roman" w:hAnsi="Times New Roman"/>
          <w:sz w:val="18"/>
          <w:szCs w:val="18"/>
          <w:color w:val="auto"/>
        </w:rPr>
        <w:t>As discussed above, the amount of traffic we attract through search engines is due in large part to how and where websites offering our products and services (and related information and links to those properties) are displayed on search engine results pages. Certain search engine operators offer products and services that compete directly with our products and services and may change their displays or rankings in order to promote their products or services or the products or services of one or more of our competitors, or to retain users on their sites for longer periods of use. Any such action could negatively impact the search rankings of links to websites offering our products and services, or the prominence with which such links appear in search results. Our success depends on the ability of links to websites offering our products and services to maintain a prominent position in search results, and in the event operators of search engines promote their own competing products in the future in a manner that has the effect of reducing the prominence or ranking of links to websites offering our products and services, our business, financial condition and results of operations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of our businesses depend upon arrangements with Google.</w:t>
      </w:r>
    </w:p>
    <w:p>
      <w:pPr>
        <w:spacing w:after="0" w:line="243" w:lineRule="exact"/>
        <w:rPr>
          <w:sz w:val="20"/>
          <w:szCs w:val="20"/>
          <w:color w:val="auto"/>
        </w:rPr>
      </w:pPr>
    </w:p>
    <w:p>
      <w:pPr>
        <w:ind w:firstLine="360"/>
        <w:spacing w:after="0" w:line="232" w:lineRule="auto"/>
        <w:rPr>
          <w:sz w:val="20"/>
          <w:szCs w:val="20"/>
          <w:color w:val="auto"/>
        </w:rPr>
      </w:pPr>
      <w:r>
        <w:rPr>
          <w:rFonts w:ascii="Times New Roman" w:cs="Times New Roman" w:eastAsia="Times New Roman" w:hAnsi="Times New Roman"/>
          <w:sz w:val="18"/>
          <w:szCs w:val="18"/>
          <w:color w:val="auto"/>
        </w:rPr>
        <w:t>A portion of our consolidated revenue (and a portion of our net cash from operations that we can freely access) is attributable to the Services Agreement. Pursuant to the Services Agreement, we display and syndicate paid listings provided by Google in response to search queries generated through the businesses within our Search segment. In exchange for making our search traffic available to Google, we receive a share of the revenue generated by the paid listings supplied to us, as well as certain other search related services. The Services Agreement expires on March 31, 2026, with an automatic renewal for an additional one-year period absent a notice of non-renewal from either party on or before December 31, 2025.</w:t>
      </w:r>
    </w:p>
    <w:p>
      <w:pPr>
        <w:spacing w:after="0" w:line="147" w:lineRule="exact"/>
        <w:rPr>
          <w:sz w:val="20"/>
          <w:szCs w:val="20"/>
          <w:color w:val="auto"/>
        </w:rPr>
      </w:pPr>
    </w:p>
    <w:p>
      <w:pPr>
        <w:ind w:right="80"/>
        <w:spacing w:after="0" w:line="229" w:lineRule="auto"/>
        <w:rPr>
          <w:sz w:val="20"/>
          <w:szCs w:val="20"/>
          <w:color w:val="auto"/>
        </w:rPr>
      </w:pPr>
      <w:r>
        <w:rPr>
          <w:rFonts w:ascii="Times New Roman" w:cs="Times New Roman" w:eastAsia="Times New Roman" w:hAnsi="Times New Roman"/>
          <w:sz w:val="18"/>
          <w:szCs w:val="18"/>
          <w:color w:val="auto"/>
        </w:rPr>
        <w:t>The amount of revenue we receive from Google depends on a number of factors outside of our control, including the amount Google charges for advertisements, the efficiency of Google’s system in attracting advertisers and serving up paid listings in response to search queries and parameters established by Google regarding the number and placement of paid listings displayed in response to search queries. In addition, Google makes judgments about the relative attractiveness (to advertisers) of clicks on paid listings from searches performed on our properties and these judgments factor into the amount of revenue we receive. Google also makes judgments about the relative attractiveness (to users) of paid listings from searches performed on our properties and these judgments factor into the number of advertisements that we can purchase. Changes to the amount Google charges advertisers, the efficiency of Google’s paid listings network and the quality of related traffic, Google’s judgment about the relative attractiveness to advertisers of clicks on paid listings from our properties or to the parameters applicable to the display of paid listings generally could result in a decrease in the amount of revenue we receive from Google and could adversely affect our business, financial condition and results of operations. Such changes could come about for a number of reasons, including general market conditions, competition or policy and operating decisions made by Google.</w:t>
      </w:r>
    </w:p>
    <w:p>
      <w:pPr>
        <w:spacing w:after="0" w:line="199" w:lineRule="exact"/>
        <w:rPr>
          <w:sz w:val="20"/>
          <w:szCs w:val="20"/>
          <w:color w:val="auto"/>
        </w:rPr>
      </w:pPr>
    </w:p>
    <w:p>
      <w:pPr>
        <w:ind w:right="100" w:firstLine="360"/>
        <w:spacing w:after="0" w:line="236" w:lineRule="auto"/>
        <w:rPr>
          <w:sz w:val="20"/>
          <w:szCs w:val="20"/>
          <w:color w:val="auto"/>
        </w:rPr>
      </w:pPr>
      <w:r>
        <w:rPr>
          <w:rFonts w:ascii="Times New Roman" w:cs="Times New Roman" w:eastAsia="Times New Roman" w:hAnsi="Times New Roman"/>
          <w:sz w:val="18"/>
          <w:szCs w:val="18"/>
          <w:color w:val="auto"/>
        </w:rPr>
        <w:t>The Services Agreement also requires that we comply with certain guidelines for the use of Google brands and services, including the Chrome browser and Chrome Web Store. These guidelines govern which of our products and applications may access Google services or be distributed through its Chrome Web Store, and the manner in which Google’s paid listings are displayed within search results across various third-party platforms and products (including our properties). The Services Agreement also requires that we establish guidelines to govern certain activities of third parties to whom we syndicate paid listings, including the manner in which these parties drive search traffic to their websites and display paid listings. Google may unilaterally update its policies and guidelines without advance notice, whether under the Services Agreement or otherwise, which could in turn require modifications to, or prohibit and/or render obsolete certain of our products, services and/or business practices, which could be costly to address or otherwise adversely affect our business, financial condition and results of operations. Noncompliance with Google’s guidelines by us or the third parties to whom we are permitted to syndicate paid listings or through which we secure distribution arrangements for the businesses within our Search financial reporting segment could result in the suspension of some or all Google services to us (or the websites of our third-party partners) and/or the termination of the Services Agreement by Google. Google has, in the past, made policy changes generally and under the Services Agreement, which had a negative impact on the historical and expected future results of operations of our Desktop business, as well as suspended services with respect to some of our Desktop products, and may take continued or further action with respect to our products and businesses in the future.</w:t>
      </w:r>
    </w:p>
    <w:p>
      <w:pPr>
        <w:spacing w:after="0" w:line="189" w:lineRule="exact"/>
        <w:rPr>
          <w:sz w:val="20"/>
          <w:szCs w:val="20"/>
          <w:color w:val="auto"/>
        </w:rPr>
      </w:pPr>
    </w:p>
    <w:p>
      <w:pPr>
        <w:ind w:right="100" w:firstLine="360"/>
        <w:spacing w:after="0" w:line="236" w:lineRule="auto"/>
        <w:rPr>
          <w:sz w:val="20"/>
          <w:szCs w:val="20"/>
          <w:color w:val="auto"/>
        </w:rPr>
      </w:pPr>
      <w:r>
        <w:rPr>
          <w:rFonts w:ascii="Times New Roman" w:cs="Times New Roman" w:eastAsia="Times New Roman" w:hAnsi="Times New Roman"/>
          <w:sz w:val="18"/>
          <w:szCs w:val="18"/>
          <w:color w:val="auto"/>
        </w:rPr>
        <w:t>The termination of the Services Agreement by Google (including the non-renewal of the agreement upon its expiration), the curtailment or worsening of our rights under the Services Agreement, including less favorable economic terms, the failure to allow our products to access Google services (whether pursuant to the terms thereof or otherwise), and/or the failure of Google to perform its obligations under the Services Agreement and/or policy changes implemented by Google under the Services Agreement or otherwise would have an adverse effect on our business, financial condition and results of operations. For example, changes to certain of the economic terms of the Services Agreement that become effective April 1, 2025 could negatively impact Search revenue.</w:t>
      </w:r>
    </w:p>
    <w:p>
      <w:pPr>
        <w:ind w:right="120" w:firstLine="360"/>
        <w:spacing w:after="0" w:line="238" w:lineRule="auto"/>
        <w:rPr>
          <w:sz w:val="20"/>
          <w:szCs w:val="20"/>
          <w:color w:val="auto"/>
        </w:rPr>
      </w:pPr>
      <w:r>
        <w:rPr>
          <w:rFonts w:ascii="Times New Roman" w:cs="Times New Roman" w:eastAsia="Times New Roman" w:hAnsi="Times New Roman"/>
          <w:sz w:val="18"/>
          <w:szCs w:val="18"/>
          <w:color w:val="auto"/>
        </w:rPr>
        <w:t>If any of these events were to occur, and as a result, we needed to find an alternate provider of paid listings, we may not be able to find another suitable provider (or if an alternate provider were found, the economic and other terms of the agreement and the quality of paid listings may be inferior relative to our arrangements with (and the paid listings supplied by) Google) or otherwise replace the lost revenues, which could have an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5" w:name="page26"/>
    <w:bookmarkEnd w:id="25"/>
    <w:p>
      <w:pPr>
        <w:ind w:right="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Changes in the usage and functioning of search engines related to GAI technology, related disruption to marketing technologies and platforms and use of our content by GAI chatbots could adversely impact our business, financial condition and results of operations.</w:t>
      </w:r>
    </w:p>
    <w:p>
      <w:pPr>
        <w:spacing w:after="0" w:line="158" w:lineRule="exact"/>
        <w:rPr>
          <w:sz w:val="20"/>
          <w:szCs w:val="20"/>
          <w:color w:val="auto"/>
        </w:rPr>
      </w:pPr>
    </w:p>
    <w:p>
      <w:pPr>
        <w:ind w:right="60" w:firstLine="324"/>
        <w:spacing w:after="0" w:line="242" w:lineRule="auto"/>
        <w:rPr>
          <w:sz w:val="20"/>
          <w:szCs w:val="20"/>
          <w:color w:val="auto"/>
        </w:rPr>
      </w:pPr>
      <w:r>
        <w:rPr>
          <w:rFonts w:ascii="Times New Roman" w:cs="Times New Roman" w:eastAsia="Times New Roman" w:hAnsi="Times New Roman"/>
          <w:sz w:val="18"/>
          <w:szCs w:val="18"/>
          <w:color w:val="auto"/>
        </w:rPr>
        <w:t>GAI-powered chatbots and other tools are changing the way people access and consume information, and if they supplant traffic to the websites of our businesses (in particular, the Digital business within our Dotdash Meredith segment), we could experience decreased traffic and advertising revenues, which could adversely impact our business, financial condition and results of operations. In addition, GAI has the potential to generate digital content and information and develop digital products and services at a much greater scale and in a more cost-effective manner relative to traditional efforts, which could result in increased competition.</w:t>
      </w:r>
    </w:p>
    <w:p>
      <w:pPr>
        <w:spacing w:after="0" w:line="171" w:lineRule="exact"/>
        <w:rPr>
          <w:sz w:val="20"/>
          <w:szCs w:val="20"/>
          <w:color w:val="auto"/>
        </w:rPr>
      </w:pPr>
    </w:p>
    <w:p>
      <w:pPr>
        <w:ind w:firstLine="324"/>
        <w:spacing w:after="0" w:line="245" w:lineRule="auto"/>
        <w:rPr>
          <w:sz w:val="20"/>
          <w:szCs w:val="20"/>
          <w:color w:val="auto"/>
        </w:rPr>
      </w:pPr>
      <w:r>
        <w:rPr>
          <w:rFonts w:ascii="Times New Roman" w:cs="Times New Roman" w:eastAsia="Times New Roman" w:hAnsi="Times New Roman"/>
          <w:sz w:val="18"/>
          <w:szCs w:val="18"/>
          <w:color w:val="auto"/>
        </w:rPr>
        <w:t>The regulatory landscape surrounding GAI is evolving rapidly. Several jurisdictions worldwide have proposed or enacted laws, rules and regulations governing GAI, and could impose new compliance requirements or restrictions in the future, and compliance with such laws, rules and regulations could be costly. To the extent GAI chatbots misappropriate or misuse our copyrighted content, the value of this content will be diminished and our ability to invest in new content will be adversely impacted, which could adversely affect our business, financial condition and results of operations.</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addition, the failure to adopt or otherwise adapt to evolving GAI capabilities could adversely affect our ability to compete generally, which could</w:t>
      </w:r>
    </w:p>
    <w:p>
      <w:pPr>
        <w:spacing w:after="0" w:line="36"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18"/>
          <w:szCs w:val="18"/>
          <w:color w:val="auto"/>
        </w:rPr>
        <w:t>adversely affect our business, financial condition and results of operations. Further, our competitors or other third parties may incorporate GAI into their business, services and products more rapidly or more successfully than we do, which could adversely affect our ability to compete effectively. Lastly, the use of GAI could lead to unintended consequences, including the generation of content that appears correct but is factually inaccurate, misleading or otherwise flawed. Implementing the use of GAI successfully and ethically will be costly and could adversely affect IAC’s business, financial condition and results of operations.</w:t>
      </w:r>
    </w:p>
    <w:p>
      <w:pPr>
        <w:spacing w:after="0" w:line="181" w:lineRule="exact"/>
        <w:rPr>
          <w:sz w:val="20"/>
          <w:szCs w:val="20"/>
          <w:color w:val="auto"/>
        </w:rPr>
      </w:pPr>
    </w:p>
    <w:p>
      <w:pPr>
        <w:ind w:right="4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in part, upon the continued migration of certain markets and industries online and the continued growth and acceptance of online products and services as effective alternatives to traditional offline products and services.</w:t>
      </w:r>
    </w:p>
    <w:p>
      <w:pPr>
        <w:spacing w:after="0" w:line="158" w:lineRule="exact"/>
        <w:rPr>
          <w:sz w:val="20"/>
          <w:szCs w:val="20"/>
          <w:color w:val="auto"/>
        </w:rPr>
      </w:pPr>
    </w:p>
    <w:p>
      <w:pPr>
        <w:ind w:firstLine="360"/>
        <w:spacing w:after="0" w:line="242" w:lineRule="auto"/>
        <w:rPr>
          <w:sz w:val="20"/>
          <w:szCs w:val="20"/>
          <w:color w:val="auto"/>
        </w:rPr>
      </w:pPr>
      <w:r>
        <w:rPr>
          <w:rFonts w:ascii="Times New Roman" w:cs="Times New Roman" w:eastAsia="Times New Roman" w:hAnsi="Times New Roman"/>
          <w:sz w:val="18"/>
          <w:szCs w:val="18"/>
          <w:color w:val="auto"/>
        </w:rPr>
        <w:t>Through our various businesses, we provide a variety of online products and services that continue to compete with their traditional offline counterparts. We believe that the continued growth and acceptance of online products and services generally will depend, to a large extent, on the continued growth in commercial use of the Internet (particularly abroad) and the continued migration of traditional offline markets and industries online.</w:t>
      </w:r>
    </w:p>
    <w:p>
      <w:pPr>
        <w:spacing w:after="0" w:line="184" w:lineRule="exact"/>
        <w:rPr>
          <w:sz w:val="20"/>
          <w:szCs w:val="20"/>
          <w:color w:val="auto"/>
        </w:rPr>
      </w:pPr>
    </w:p>
    <w:p>
      <w:pPr>
        <w:ind w:right="60" w:firstLine="360"/>
        <w:spacing w:after="0" w:line="245" w:lineRule="auto"/>
        <w:rPr>
          <w:sz w:val="20"/>
          <w:szCs w:val="20"/>
          <w:color w:val="auto"/>
        </w:rPr>
      </w:pPr>
      <w:r>
        <w:rPr>
          <w:rFonts w:ascii="Times New Roman" w:cs="Times New Roman" w:eastAsia="Times New Roman" w:hAnsi="Times New Roman"/>
          <w:sz w:val="18"/>
          <w:szCs w:val="18"/>
          <w:color w:val="auto"/>
        </w:rPr>
        <w:t>For example, the success of our Angi and Care.com businesses depends, in substantial part, on the continued migration of the home services and care-related services markets, respectively, online. If for any reason these markets do not migrate online as quickly as (or at lower levels than) we expect and consumers and professionals (and subscribers and caregivers) continue, in large part, to rely on traditional offline efforts to connect with one another, our business, financial condition and results of operations could be adversely affected.</w:t>
      </w:r>
    </w:p>
    <w:p>
      <w:pPr>
        <w:spacing w:after="0" w:line="194" w:lineRule="exact"/>
        <w:rPr>
          <w:sz w:val="20"/>
          <w:szCs w:val="20"/>
          <w:color w:val="auto"/>
        </w:rPr>
      </w:pPr>
    </w:p>
    <w:p>
      <w:pPr>
        <w:ind w:right="120" w:firstLine="360"/>
        <w:spacing w:after="0" w:line="245" w:lineRule="auto"/>
        <w:rPr>
          <w:sz w:val="20"/>
          <w:szCs w:val="20"/>
          <w:color w:val="auto"/>
        </w:rPr>
      </w:pPr>
      <w:r>
        <w:rPr>
          <w:rFonts w:ascii="Times New Roman" w:cs="Times New Roman" w:eastAsia="Times New Roman" w:hAnsi="Times New Roman"/>
          <w:sz w:val="18"/>
          <w:szCs w:val="18"/>
          <w:color w:val="auto"/>
        </w:rPr>
        <w:t>Lastly, the success of our advertising-supported businesses also depends, in part, on their ability to compete for a share of available advertising expenditures as more traditional offline and emerging media companies continue to enter the online advertising market, the continued growth and acceptance of online advertising generally and their ability to successfully adapt to changes in the overall digital advertising landscape (for example, in response to the phasing out (or blocking) of third-party cookies by web browsers and consumers increasingly choosing to use browsers that do not support third-party cookies). Any lack of growth in the market for online advertising and/or our inability to successfully adapt to changes in the overall digital advertising landscape could adversely affect our business, financial condition and results of operations. See also “-Our success depends, in part, on the ability of our Digital business to successfully expand the digital reach of our portfolio of publishing brands.”</w:t>
      </w:r>
    </w:p>
    <w:p>
      <w:pPr>
        <w:spacing w:after="0" w:line="191" w:lineRule="exact"/>
        <w:rPr>
          <w:sz w:val="20"/>
          <w:szCs w:val="20"/>
          <w:color w:val="auto"/>
        </w:rPr>
      </w:pPr>
    </w:p>
    <w:p>
      <w:pPr>
        <w:ind w:right="5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in part, on our continued ability to develop and monetize versions of our products and services for mobile and other digital devices.</w:t>
      </w:r>
    </w:p>
    <w:p>
      <w:pPr>
        <w:spacing w:after="0" w:line="158" w:lineRule="exact"/>
        <w:rPr>
          <w:sz w:val="20"/>
          <w:szCs w:val="20"/>
          <w:color w:val="auto"/>
        </w:rPr>
      </w:pPr>
    </w:p>
    <w:p>
      <w:pPr>
        <w:ind w:right="60" w:firstLine="360"/>
        <w:spacing w:after="0" w:line="241" w:lineRule="auto"/>
        <w:rPr>
          <w:sz w:val="20"/>
          <w:szCs w:val="20"/>
          <w:color w:val="auto"/>
        </w:rPr>
      </w:pPr>
      <w:r>
        <w:rPr>
          <w:rFonts w:ascii="Times New Roman" w:cs="Times New Roman" w:eastAsia="Times New Roman" w:hAnsi="Times New Roman"/>
          <w:sz w:val="18"/>
          <w:szCs w:val="18"/>
          <w:color w:val="auto"/>
        </w:rPr>
        <w:t>As consumers increasingly access our products and services through mobile and other digital devices, we will need to continue to devote significant time and resources to ensure that our products and services are accessible across these platforms (and multiple platforms generally). If we do not keep pace with evolving online, market and industry trends (including the introduction of new and enhanced digital devices and changes in the preferences and needs of consumers generally), offer new and/or enhanced products and services in response to such trends that resonate with consumers, monetize products and services for mobile and other digital devices as effectively as traditional products and services and/or maintain related systems, technology and infrastructure in an efficient and cost-effective manner, our business, financial condition and results of operations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6" w:name="page27"/>
    <w:bookmarkEnd w:id="26"/>
    <w:p>
      <w:pPr>
        <w:ind w:right="460" w:firstLine="360"/>
        <w:spacing w:after="0" w:line="245" w:lineRule="auto"/>
        <w:rPr>
          <w:sz w:val="20"/>
          <w:szCs w:val="20"/>
          <w:color w:val="auto"/>
        </w:rPr>
      </w:pPr>
      <w:r>
        <w:rPr>
          <w:rFonts w:ascii="Times New Roman" w:cs="Times New Roman" w:eastAsia="Times New Roman" w:hAnsi="Times New Roman"/>
          <w:sz w:val="18"/>
          <w:szCs w:val="18"/>
          <w:color w:val="auto"/>
        </w:rPr>
        <w:t>In addition, the success of our mobile and other digital products and services depends on their interoperability with various third-party operating systems, technology, infrastructure and standards, over which we have no control. Any changes to any of these things that compromise the quality or functionality of our mobile and digital products and services could adversely affect their usage levels and/or our ability to attract consumers and advertisers, which could adversely affect our business, financial condition and results of operations.</w:t>
      </w:r>
    </w:p>
    <w:p>
      <w:pPr>
        <w:spacing w:after="0" w:line="177"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Advertising revenue represents a significant portion of our consolidated revenue. Accordingly, we are sensitive to general economic events and trends that adversely impact advertising spending levels.</w:t>
      </w:r>
    </w:p>
    <w:p>
      <w:pPr>
        <w:spacing w:after="0" w:line="158" w:lineRule="exact"/>
        <w:rPr>
          <w:sz w:val="20"/>
          <w:szCs w:val="20"/>
          <w:color w:val="auto"/>
        </w:rPr>
      </w:pPr>
    </w:p>
    <w:p>
      <w:pPr>
        <w:ind w:firstLine="405"/>
        <w:spacing w:after="0" w:line="236" w:lineRule="auto"/>
        <w:rPr>
          <w:sz w:val="20"/>
          <w:szCs w:val="20"/>
          <w:color w:val="auto"/>
        </w:rPr>
      </w:pPr>
      <w:r>
        <w:rPr>
          <w:rFonts w:ascii="Times New Roman" w:cs="Times New Roman" w:eastAsia="Times New Roman" w:hAnsi="Times New Roman"/>
          <w:sz w:val="18"/>
          <w:szCs w:val="18"/>
          <w:color w:val="auto"/>
        </w:rPr>
        <w:t>A significant portion of our consolidated revenue is attributable to digital and other advertising, primarily revenue from the businesses within our Dotdash Meredith and Search segments. Accordingly, events and trends that put economic pressure on advertisers and consumers could continue to result in decreased advertising expenditures and related revenues generally, which would continue to adversely affect our business, financial condition and results of operations. For example, demand for advertising is highly dependent upon the strength of the economy in the United States, so any general economic downturn, social or political instability, recessionary concerns, rising interest rates and increased inflation, as well as any sudden disruption in business conditions, could adversely affect demand for advertising and consumer confidence, and in turn, our business, financial condition and results of operations. Also, as alternative forms of media and entertainment continue to grow (relative to traditional forms of media), competition for advertising will continue to increase, which could adversely affect demand for (and the effectiveness of) advertising through our various platforms, which in turn could adversely affect our business, financial condition and results of operations. Significant shifts in advertiser demand preferences and allocation of budgets across various forms and channels of advertising (such as search, social, display and retail media networks) could also have a negative impact on our ability to grow digital advertising revenue. In addition, the phasing out (or blocking) of third-party cookies by web browsers, as well as consumers increasingly choosing to use browsers that do not support third-party cookies, could also adversely affect our ability to sell advertising and the effectiveness of our marketing efforts at those of our businesses that rely on cookies as a meaningful part of their overall marketing strategy.</w:t>
      </w:r>
    </w:p>
    <w:p>
      <w:pPr>
        <w:spacing w:after="0" w:line="216" w:lineRule="exact"/>
        <w:rPr>
          <w:sz w:val="20"/>
          <w:szCs w:val="20"/>
          <w:color w:val="auto"/>
        </w:rPr>
      </w:pPr>
    </w:p>
    <w:p>
      <w:pPr>
        <w:ind w:right="40" w:firstLine="405"/>
        <w:spacing w:after="0"/>
        <w:rPr>
          <w:sz w:val="20"/>
          <w:szCs w:val="20"/>
          <w:color w:val="auto"/>
        </w:rPr>
      </w:pPr>
      <w:r>
        <w:rPr>
          <w:rFonts w:ascii="Times New Roman" w:cs="Times New Roman" w:eastAsia="Times New Roman" w:hAnsi="Times New Roman"/>
          <w:sz w:val="18"/>
          <w:szCs w:val="18"/>
          <w:color w:val="auto"/>
        </w:rPr>
        <w:t>While our Dotdash Meredith business has developed an advertising product that allows advertisers to target consumers based on intent instead of utilizing cookies, there can be no guarantee that advertisers will find this or any other alternative solution to be effective, and the perception that this or any other solution is not effective could cause advertisers to shift more spend away from the open Internet and towards closed platforms or ecosystems, which rely less on cookies given that they are able to use logged-in user data for targeting and tracking purposes.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depends, in part, on the ability of our Digital business to successfully expand the digital reach of our portfolio of publishing brands.</w:t>
      </w:r>
    </w:p>
    <w:p>
      <w:pPr>
        <w:spacing w:after="0" w:line="216" w:lineRule="exact"/>
        <w:rPr>
          <w:sz w:val="20"/>
          <w:szCs w:val="20"/>
          <w:color w:val="auto"/>
        </w:rPr>
      </w:pPr>
    </w:p>
    <w:p>
      <w:pPr>
        <w:ind w:right="40" w:firstLine="405"/>
        <w:spacing w:after="0" w:line="242" w:lineRule="auto"/>
        <w:rPr>
          <w:sz w:val="20"/>
          <w:szCs w:val="20"/>
          <w:color w:val="auto"/>
        </w:rPr>
      </w:pPr>
      <w:r>
        <w:rPr>
          <w:rFonts w:ascii="Times New Roman" w:cs="Times New Roman" w:eastAsia="Times New Roman" w:hAnsi="Times New Roman"/>
          <w:sz w:val="18"/>
          <w:szCs w:val="18"/>
          <w:color w:val="auto"/>
        </w:rPr>
        <w:t>We intend to continue to focus on digital content, advertising and other means of monetization across its portfolio of publishing brands, including growing audiences and products across the digital lifestyle brands at Dotdash Meredith. As a result, we intend to continue to increase our investment in our Digital business. If this focus and increased investment does not generate increased revenue from our Digital business and/or if we otherwise do not successfully execute this strategy generally and/or in a cost-effective manner, our business, financial condition and results of operations will be adversely affected.</w:t>
      </w:r>
    </w:p>
    <w:p>
      <w:pPr>
        <w:spacing w:after="0" w:line="181"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in substantial part, on our continued ability to market, distribute and monetize our products and services through search engines, digital app stores, advertising networks and social media platforms.</w:t>
      </w:r>
    </w:p>
    <w:p>
      <w:pPr>
        <w:spacing w:after="0" w:line="158" w:lineRule="exact"/>
        <w:rPr>
          <w:sz w:val="20"/>
          <w:szCs w:val="20"/>
          <w:color w:val="auto"/>
        </w:rPr>
      </w:pPr>
    </w:p>
    <w:p>
      <w:pPr>
        <w:ind w:firstLine="360"/>
        <w:spacing w:after="0" w:line="237" w:lineRule="auto"/>
        <w:rPr>
          <w:sz w:val="20"/>
          <w:szCs w:val="20"/>
          <w:color w:val="auto"/>
        </w:rPr>
      </w:pPr>
      <w:r>
        <w:rPr>
          <w:rFonts w:ascii="Times New Roman" w:cs="Times New Roman" w:eastAsia="Times New Roman" w:hAnsi="Times New Roman"/>
          <w:sz w:val="18"/>
          <w:szCs w:val="18"/>
          <w:color w:val="auto"/>
        </w:rPr>
        <w:t>The marketing, distribution and monetization of our products and services depends on our ability to cultivate and maintain cost-effective and otherwise satisfactory relationships with search engines, digital app stores, advertising networks and social media platforms, in particular, those operated by Apple, Google, Microsoft, Facebook and Amazon. These platforms could decide not to market and distribute some or all of our products and services, change their terms and conditions of use or advertising policies at any time (and without notice), favor their own products and services over our products and services and/or significantly increase their fees. While we expect to maintain cost-effective and otherwise satisfactory relationships with these platforms, no assurances can be provided that we will be able to do so and our inability to do so in the case of one or more of these platforms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7" w:name="page28"/>
    <w:bookmarkEnd w:id="27"/>
    <w:p>
      <w:pPr>
        <w:ind w:right="260" w:firstLine="360"/>
        <w:spacing w:after="0" w:line="250" w:lineRule="auto"/>
        <w:rPr>
          <w:sz w:val="20"/>
          <w:szCs w:val="20"/>
          <w:color w:val="auto"/>
        </w:rPr>
      </w:pPr>
      <w:r>
        <w:rPr>
          <w:rFonts w:ascii="Times New Roman" w:cs="Times New Roman" w:eastAsia="Times New Roman" w:hAnsi="Times New Roman"/>
          <w:sz w:val="18"/>
          <w:szCs w:val="18"/>
          <w:color w:val="auto"/>
        </w:rPr>
        <w:t>In particular, as consumers increasingly access our products and services through applications, we increasingly depend upon the Apple App Store, Google Play Store, Google’s Chrome Web Store, Microsoft Store and Amazon App Store to distribute our mobile applications. The operators of these stores have broad discretion to change their respective terms and conditions applicable to the distribution of our applications, including those relating to</w:t>
      </w:r>
    </w:p>
    <w:p>
      <w:pPr>
        <w:spacing w:after="0" w:line="1" w:lineRule="exact"/>
        <w:rPr>
          <w:sz w:val="20"/>
          <w:szCs w:val="20"/>
          <w:color w:val="auto"/>
        </w:rPr>
      </w:pPr>
    </w:p>
    <w:p>
      <w:pPr>
        <w:ind w:right="120"/>
        <w:spacing w:after="0" w:line="237" w:lineRule="auto"/>
        <w:rPr>
          <w:sz w:val="20"/>
          <w:szCs w:val="20"/>
          <w:color w:val="auto"/>
        </w:rPr>
      </w:pPr>
      <w:r>
        <w:rPr>
          <w:rFonts w:ascii="Times New Roman" w:cs="Times New Roman" w:eastAsia="Times New Roman" w:hAnsi="Times New Roman"/>
          <w:sz w:val="18"/>
          <w:szCs w:val="18"/>
          <w:color w:val="auto"/>
        </w:rPr>
        <w:t>privacy and data collection, the amount of (and requirement to pay) certain fees associated with purchases facilitated by such stores through our applications, their ability to interpret their respective terms and conditions in ways that may limit, eliminate or otherwise interfere with our ability to distribute our applications through such stores, the features we may provide in our products and services, our ability to access information about our subscribers and users that they collect and the manner in which we market in-app products. The operators of these stores could also make changes to their operating systems or payment services that could negatively affect us. No assurances can be provided that the operators of these stores will not interpret their respective terms and conditions in the manner described above and to the extent any of them do so, our business, financial condition and results of operations could be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our Print business is declining.</w:t>
      </w:r>
    </w:p>
    <w:p>
      <w:pPr>
        <w:spacing w:after="0" w:line="2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Print business generates revenue from various channels, the largest of which are the sale of print magazine subscriptions to consumers and</w:t>
      </w:r>
    </w:p>
    <w:p>
      <w:pPr>
        <w:spacing w:after="0" w:line="36"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magazine advertising, followed by newsstand sales. The profitability of our print magazine publications (and in turn, our Print business) depends, in substantial part, on our ability to both maintain a profitable audience and sell advertising based on that audience. The industry in which our Print business operates is extremely competitive and such business will continue to face increasing competition from alternative forms of media and entertainment (primarily digital channels). As a result, we have implemented certain restructuring actions that eliminated the print component in the case of certain of our publishing brands and reduced the circulation of others. In addition, the Print segment is dependent on certain audience targeted advertising revenues that are tied to cyclical events, such as political advertising campaigns. These actions, together with other continuing trends in the print magazine industry, have negatively impacted, and continue to negatively impact, our Print revenue. We continue to expect Print revenue from print magazine subscriptions, advertisers and newsstand sales to decline over the next few years. If we do not offset the decrease in Print magazine subscriptions by increasing subscription prices, our revenue may decline. As a result of this continuing decline, during the fourth quarter of 2024, we implemented a reduction in force, primarily in the case of our Print business, in an attempt to improve efficiencies and better align our cost structure. If we do not offset future reductions in revenue with additional cost-cutting measures and continue to proactively manage this decline, our business, financial condition and results of operations could be adversely affected.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Increases in paper and postage prices are difficult to predict and control.</w:t>
      </w:r>
    </w:p>
    <w:p>
      <w:pPr>
        <w:spacing w:after="0" w:line="216" w:lineRule="exact"/>
        <w:rPr>
          <w:sz w:val="20"/>
          <w:szCs w:val="20"/>
          <w:color w:val="auto"/>
        </w:rPr>
      </w:pPr>
    </w:p>
    <w:p>
      <w:pPr>
        <w:ind w:firstLine="405"/>
        <w:spacing w:after="0" w:line="236" w:lineRule="auto"/>
        <w:rPr>
          <w:sz w:val="20"/>
          <w:szCs w:val="20"/>
          <w:color w:val="auto"/>
        </w:rPr>
      </w:pPr>
      <w:r>
        <w:rPr>
          <w:rFonts w:ascii="Times New Roman" w:cs="Times New Roman" w:eastAsia="Times New Roman" w:hAnsi="Times New Roman"/>
          <w:sz w:val="18"/>
          <w:szCs w:val="18"/>
          <w:color w:val="auto"/>
        </w:rPr>
        <w:t>In the case of our Print business, paper and postage represent a significant component of costs. Paper is a commodity and its price can be subject to significant volatility, particularly in times of macroeconomic uncertainty. Paper prices reached all time-highs in early 2023. We rely on multiple third parties to supply us with paper for our print magazines, the largest of which are located in the European Union. Our paper supply contracts currently provide for price adjustments based on prevailing market prices and historically, we have been able to realize favorable paper pricing through volume discounts. Our paper suppliers and/or the paper mills upon which they rely for inventory may experience events outside of their and our control that result in supply chain disruptions (for example, labor force disruptions (strikes and union negotiations) and weather, among other events). The United States Postal Service (the “USPS”) distributes substantially all our subscription magazines and many of our marketing materials. Postal rates are dependent on the operating efficiency of the USPS and on legislative mandates imposed upon the USPS. Although we work with others in the industry and through trade organizations to encourage the USPS to implement efficiencies that will minimize postal rate increases, we have no control over such matters. The USPS is currently committed to increasing postal rates, which combined with the impact of volatility in paper prices and paper supply chain disruptions, could adversely affect our business, financial condition and results of operations.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a single supplier to print our magazines and primarily rely on two wholesalers to distribute our magazines through newsstands.</w:t>
      </w:r>
    </w:p>
    <w:p>
      <w:pPr>
        <w:spacing w:after="0" w:line="216" w:lineRule="exact"/>
        <w:rPr>
          <w:sz w:val="20"/>
          <w:szCs w:val="20"/>
          <w:color w:val="auto"/>
        </w:rPr>
      </w:pPr>
    </w:p>
    <w:p>
      <w:pPr>
        <w:ind w:firstLine="486"/>
        <w:spacing w:after="0" w:line="237" w:lineRule="auto"/>
        <w:rPr>
          <w:sz w:val="20"/>
          <w:szCs w:val="20"/>
          <w:color w:val="auto"/>
        </w:rPr>
      </w:pPr>
      <w:r>
        <w:rPr>
          <w:rFonts w:ascii="Times New Roman" w:cs="Times New Roman" w:eastAsia="Times New Roman" w:hAnsi="Times New Roman"/>
          <w:sz w:val="18"/>
          <w:szCs w:val="18"/>
          <w:color w:val="auto"/>
        </w:rPr>
        <w:t>In the case of our Print business, we produce print magazines in the United States and rely on one supplier (the only one capable of producing such print magazines) to do so. We also rely primarily on two wholesalers, each of which is the only distributor of scale in its respective geographical regions, to distribute the substantial majority of our print magazines to newsstands in the United States. If for any reason, our one supplier fails to deliver our print magazines and/or one or both of the two wholesalers cannot distribute our print magazines to newsstands, our business, financial condition and results of operations could be adversely affected. In this case, we may not be able to move the printing of our print magazines to an alternative supplier and/or the distribution of our print magazines to alternative wholesalers, particularly given the contracting nature of the print magazine market generally (and shrinking wholesaler options). And even if we were to find alternative vendors, the economic and other terms of the arrangements and the quality of the services provided could be inferior relative to the arrangements with our current vendors and/or we may not be able to replace lost revenues. Any transitions in this regard would be costly and time consuming and could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Our pension plan obligations could increase.</w:t>
      </w:r>
    </w:p>
    <w:p>
      <w:pPr>
        <w:spacing w:after="0" w:line="216" w:lineRule="exact"/>
        <w:rPr>
          <w:sz w:val="20"/>
          <w:szCs w:val="20"/>
          <w:color w:val="auto"/>
        </w:rPr>
      </w:pPr>
    </w:p>
    <w:p>
      <w:pPr>
        <w:ind w:right="52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acquisition of Meredith Holdings Corp. in December 2021, our Dotdash Meredith business assumed certain pension plan obligations. The two largest of these pension plans were funded plans in the United Kingdom and the United States.</w:t>
      </w:r>
    </w:p>
    <w:p>
      <w:pPr>
        <w:spacing w:after="0" w:line="230" w:lineRule="exact"/>
        <w:rPr>
          <w:sz w:val="20"/>
          <w:szCs w:val="20"/>
          <w:color w:val="auto"/>
        </w:rPr>
      </w:pPr>
    </w:p>
    <w:p>
      <w:pPr>
        <w:ind w:right="240" w:firstLine="324"/>
        <w:spacing w:after="0" w:line="245" w:lineRule="auto"/>
        <w:rPr>
          <w:sz w:val="20"/>
          <w:szCs w:val="20"/>
          <w:color w:val="auto"/>
        </w:rPr>
      </w:pPr>
      <w:r>
        <w:rPr>
          <w:rFonts w:ascii="Times New Roman" w:cs="Times New Roman" w:eastAsia="Times New Roman" w:hAnsi="Times New Roman"/>
          <w:sz w:val="18"/>
          <w:szCs w:val="18"/>
          <w:color w:val="auto"/>
        </w:rPr>
        <w:t>The funded pension plan in the United Kingdom relates to a business that was sold by Meredith Corporation prior to December 2021, and as of the date of this report, there are no active participants in such plan accruing benefits. This plan has entered into two annuity contracts designed to provide payments equal to all future designated contractual benefit payments to covered participants. The value of these annuity contracts and the liabilities with</w:t>
      </w:r>
    </w:p>
    <w:p>
      <w:pPr>
        <w:spacing w:after="0" w:line="2" w:lineRule="exact"/>
        <w:rPr>
          <w:sz w:val="20"/>
          <w:szCs w:val="20"/>
          <w:color w:val="auto"/>
        </w:rPr>
      </w:pPr>
    </w:p>
    <w:p>
      <w:pPr>
        <w:ind w:right="160"/>
        <w:spacing w:after="0" w:line="233" w:lineRule="auto"/>
        <w:rPr>
          <w:sz w:val="20"/>
          <w:szCs w:val="20"/>
          <w:color w:val="auto"/>
        </w:rPr>
      </w:pPr>
      <w:r>
        <w:rPr>
          <w:rFonts w:ascii="Times New Roman" w:cs="Times New Roman" w:eastAsia="Times New Roman" w:hAnsi="Times New Roman"/>
          <w:sz w:val="18"/>
          <w:szCs w:val="18"/>
          <w:color w:val="auto"/>
        </w:rPr>
        <w:t>respect to participants are expected to match</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While the Company does not expect to have to make any contributions to the funded United Kingdom plan, that could change based upon future events.</w:t>
      </w:r>
    </w:p>
    <w:p>
      <w:pPr>
        <w:spacing w:after="0" w:line="211" w:lineRule="exact"/>
        <w:rPr>
          <w:sz w:val="20"/>
          <w:szCs w:val="20"/>
          <w:color w:val="auto"/>
        </w:rPr>
      </w:pPr>
    </w:p>
    <w:p>
      <w:pPr>
        <w:ind w:right="260" w:firstLine="324"/>
        <w:spacing w:after="0" w:line="245" w:lineRule="auto"/>
        <w:rPr>
          <w:sz w:val="20"/>
          <w:szCs w:val="20"/>
          <w:color w:val="auto"/>
        </w:rPr>
      </w:pPr>
      <w:r>
        <w:rPr>
          <w:rFonts w:ascii="Times New Roman" w:cs="Times New Roman" w:eastAsia="Times New Roman" w:hAnsi="Times New Roman"/>
          <w:sz w:val="18"/>
          <w:szCs w:val="18"/>
          <w:color w:val="auto"/>
        </w:rPr>
        <w:t>The funded pension plan in the United States was terminated effective December 31, 2022, and from and after such date, no participants accrued additional service credits under that plan. Participant benefits were fully satisfied under such plan in the third quarter of 2024, with each plan participant receiving either a lump sum cash payment or an annuity purchased on the relevant participant's behalf. As of December 31, 2024, there are no assets or liabilities under the United States funded plan and no future contributions will be required to this plan.</w:t>
      </w:r>
    </w:p>
    <w:p>
      <w:pPr>
        <w:spacing w:after="0" w:line="204" w:lineRule="exact"/>
        <w:rPr>
          <w:sz w:val="20"/>
          <w:szCs w:val="20"/>
          <w:color w:val="auto"/>
        </w:rPr>
      </w:pPr>
    </w:p>
    <w:p>
      <w:pPr>
        <w:ind w:right="2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in part, on the ability of Angi and Care.com to establish and maintain relationships with quality and trustworthy professionals and caregivers.</w:t>
      </w:r>
    </w:p>
    <w:p>
      <w:pPr>
        <w:spacing w:after="0" w:line="158" w:lineRule="exact"/>
        <w:rPr>
          <w:sz w:val="20"/>
          <w:szCs w:val="20"/>
          <w:color w:val="auto"/>
        </w:rPr>
      </w:pPr>
    </w:p>
    <w:p>
      <w:pPr>
        <w:ind w:right="100" w:firstLine="360"/>
        <w:spacing w:after="0" w:line="235" w:lineRule="auto"/>
        <w:rPr>
          <w:sz w:val="20"/>
          <w:szCs w:val="20"/>
          <w:color w:val="auto"/>
        </w:rPr>
      </w:pPr>
      <w:r>
        <w:rPr>
          <w:rFonts w:ascii="Times New Roman" w:cs="Times New Roman" w:eastAsia="Times New Roman" w:hAnsi="Times New Roman"/>
          <w:sz w:val="18"/>
          <w:szCs w:val="18"/>
          <w:color w:val="auto"/>
        </w:rPr>
        <w:t>We must continue to attract, retain and grow the number of skilled and reliable professionals who can provide services across Angi platforms and caregivers who can provide care-related services through the Care.com platform. If we do not offer innovative products and services that resonate with consumers, professionals, subscribers and caregivers generally, as well as provide professionals and caregivers with an attractive return on their marketing and advertising investments, the number of professionals and caregivers affiliated with Angi and Care.com platforms, respectively, would decrease. Any such decreases would result in smaller and less diverse networks and directories of professionals and caregivers, and in turn, decreases in service requests, pre-priced bookings and directory searches, as well as subscriber requests for caregivers, which could adversely impact our business, financial condition and results of operations.</w:t>
      </w:r>
    </w:p>
    <w:p>
      <w:pPr>
        <w:spacing w:after="0" w:line="5" w:lineRule="exact"/>
        <w:rPr>
          <w:sz w:val="20"/>
          <w:szCs w:val="20"/>
          <w:color w:val="auto"/>
        </w:rPr>
      </w:pPr>
    </w:p>
    <w:p>
      <w:pPr>
        <w:ind w:right="100" w:firstLine="360"/>
        <w:spacing w:after="0" w:line="234" w:lineRule="auto"/>
        <w:rPr>
          <w:sz w:val="20"/>
          <w:szCs w:val="20"/>
          <w:color w:val="auto"/>
        </w:rPr>
      </w:pPr>
      <w:r>
        <w:rPr>
          <w:rFonts w:ascii="Times New Roman" w:cs="Times New Roman" w:eastAsia="Times New Roman" w:hAnsi="Times New Roman"/>
          <w:sz w:val="18"/>
          <w:szCs w:val="18"/>
          <w:color w:val="auto"/>
        </w:rPr>
        <w:t>In addition to valuing the skill and reliability of professionals and caregivers, consumers and families want to work with professionals and caregivers whom they trust to work in their homes and with their family members and with whom they feel safe. Similarly, in order to continue to attract, retain and grow the number of professionals and caregivers, professionals and caregivers need to feel safe in their work environment. While there are screening processes and certain other safety-related measures in place at these businesses (which generally include certain limited background checks) intended to prevent unsuitable participants, including professionals, caregivers and consumers or subscribers, from joining and remaining on these platforms, these processes have limitations and, even with these safety measures, no assurances can be provided regarding the future behavior of any professional or caregiver affiliated with, or consumer or subscriber utilizing, these platforms. Inappropriate and/or unlawful professional and/or caregiver behavior generally (particularly behavior that compromises their trustworthiness and/or of the safety of consumers and families) could result in decreases in service requests for professionals and subscriber requests for caregivers and related care services, bad publicity and related damage to our reputation, brands and brand-building efforts and/or actions by governmental and regulatory authorities, criminal proceedings and/or litigation. Similarly, inappropriate and/or unlawful behavior towards professionals or caregivers by consumers or subscribers (particularly behavior that compromises their safety) could result in a reduction in the number of professionals or caregivers willing to provide services through the Angi platform or the Care.com platform, as applicable, bad publicity and related damage to our reputation, brands and brand-building efforts and/or actions by governmental and regulatory authorities, criminal proceedings and/or litigation. The occurrence or any of these events could, in turn, adversely affect our business, financial condition and results of operations.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depends, in part, on the ability of Angi to balance their various offerings to professionals across the Angi platforms.</w:t>
      </w:r>
    </w:p>
    <w:p>
      <w:pPr>
        <w:spacing w:after="0" w:line="214" w:lineRule="exact"/>
        <w:rPr>
          <w:sz w:val="20"/>
          <w:szCs w:val="20"/>
          <w:color w:val="auto"/>
        </w:rPr>
      </w:pPr>
    </w:p>
    <w:p>
      <w:pPr>
        <w:ind w:firstLine="360"/>
        <w:spacing w:after="0" w:line="243" w:lineRule="auto"/>
        <w:rPr>
          <w:sz w:val="20"/>
          <w:szCs w:val="20"/>
          <w:color w:val="auto"/>
        </w:rPr>
      </w:pPr>
      <w:r>
        <w:rPr>
          <w:rFonts w:ascii="Times New Roman" w:cs="Times New Roman" w:eastAsia="Times New Roman" w:hAnsi="Times New Roman"/>
          <w:sz w:val="18"/>
          <w:szCs w:val="18"/>
          <w:color w:val="auto"/>
        </w:rPr>
        <w:t xml:space="preserve">The Services business within our Angi segment provides a pre-priced offering, pursuant to which consumers can request services through the </w:t>
      </w:r>
      <w:r>
        <w:rPr>
          <w:rFonts w:ascii="Times New Roman" w:cs="Times New Roman" w:eastAsia="Times New Roman" w:hAnsi="Times New Roman"/>
          <w:sz w:val="18"/>
          <w:szCs w:val="18"/>
          <w:i w:val="1"/>
          <w:iCs w:val="1"/>
          <w:color w:val="auto"/>
        </w:rPr>
        <w:t>Angi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 xml:space="preserve">Handy </w:t>
      </w:r>
      <w:r>
        <w:rPr>
          <w:rFonts w:ascii="Times New Roman" w:cs="Times New Roman" w:eastAsia="Times New Roman" w:hAnsi="Times New Roman"/>
          <w:sz w:val="18"/>
          <w:szCs w:val="18"/>
          <w:color w:val="auto"/>
        </w:rPr>
        <w:t>platforms and pay for such services on the applicable platform directly. These service requests are then fulfilled by independently established home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providers engaged in a trade, occupation and/or business that customarily provide such services. Increased participation in pre-priced offerings could reduce the levels of professional participation at Angi’s other businesses, and in turn,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29" w:name="page30"/>
    <w:bookmarkEnd w:id="29"/>
    <w:p>
      <w:pPr>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Changes to certain requirements applicable to certain communications with consumers may adversely impact the ability of our Angi businesses to generate leads for professionals.</w:t>
      </w:r>
    </w:p>
    <w:p>
      <w:pPr>
        <w:spacing w:after="0" w:line="158" w:lineRule="exact"/>
        <w:rPr>
          <w:sz w:val="20"/>
          <w:szCs w:val="20"/>
          <w:color w:val="auto"/>
        </w:rPr>
      </w:pPr>
    </w:p>
    <w:p>
      <w:pPr>
        <w:ind w:right="20" w:firstLine="324"/>
        <w:spacing w:after="0" w:line="236" w:lineRule="auto"/>
        <w:rPr>
          <w:sz w:val="20"/>
          <w:szCs w:val="20"/>
          <w:color w:val="auto"/>
        </w:rPr>
      </w:pPr>
      <w:r>
        <w:rPr>
          <w:rFonts w:ascii="Times New Roman" w:cs="Times New Roman" w:eastAsia="Times New Roman" w:hAnsi="Times New Roman"/>
          <w:sz w:val="18"/>
          <w:szCs w:val="18"/>
          <w:color w:val="auto"/>
        </w:rPr>
        <w:t>In connection with the marketing of our products and services and efforts to generate leads for professionals, the businesses within our Angi segment have historically relied on their ability (and the ability of professionals) to communicate with consumers via phone and text message, in some cases, using automated technology, as have third-party affiliates through which Angi businesses market their products and services. In an effort to reduce robocalls and robotexts, there has been an increased effort by U.S. regulatory authorities and telecommunications carriers to ensure that consumers opt in to receiving certain marketing calls and text messages from businesses. To the extent that any regulatory restrictions are implemented, such restrictions could adversely impact consumer engagement levels and consumer conversion in the case of Angi’s products and services, which would decrease leads generated on Angi platforms, as well as Angi’s ability to obtain leads through its third party affiliate relationships, which, in turn, could adversely affect our business, financial condition and results of operations. Additionally, phone carriers increasingly dictate rules for obtaining consent from consumers to receive text messages. This may reduce the number of consumers who opt in to receiving both marketing and transactional text messages from Angi businesses and professionals, which could further adversely impact the ability of Angi businesses to generate leads for professionals and, in turn, our business, financial condition and results of operations.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depends, in part, on our ability to access, collect and use personal data about our users and subscribers.</w:t>
      </w:r>
    </w:p>
    <w:p>
      <w:pPr>
        <w:spacing w:after="0" w:line="216" w:lineRule="exact"/>
        <w:rPr>
          <w:sz w:val="20"/>
          <w:szCs w:val="20"/>
          <w:color w:val="auto"/>
        </w:rPr>
      </w:pPr>
    </w:p>
    <w:p>
      <w:pPr>
        <w:ind w:right="40" w:firstLine="360"/>
        <w:spacing w:after="0" w:line="236" w:lineRule="auto"/>
        <w:rPr>
          <w:sz w:val="20"/>
          <w:szCs w:val="20"/>
          <w:color w:val="auto"/>
        </w:rPr>
      </w:pPr>
      <w:r>
        <w:rPr>
          <w:rFonts w:ascii="Times New Roman" w:cs="Times New Roman" w:eastAsia="Times New Roman" w:hAnsi="Times New Roman"/>
          <w:sz w:val="18"/>
          <w:szCs w:val="18"/>
          <w:color w:val="auto"/>
        </w:rPr>
        <w:t>We depend on search engines, digital app stores and social media platforms, in particular, those operated by Google, Apple and Facebook, to market, distribute and monetize our products and services. Our users and subscribers engage with these platforms directly, and in the case of digital app stores, are generally subject to requirements regarding the use of their payment systems for various transactions. As a result, these platforms generally receive personal data about our users and subscribers that we would otherwise receive if we transacted with our users and subscribers directly. Certain of these platforms have restricted (and continue to restrict) our access to personal data about our users and subscribers obtained through their platforms. In addition, the privacy and data collection policies of certain platforms require users to opt-in to sharing their devices’ unique identifiers with our businesses, which allow them to recognize a given device and track related activity across applications and websites, primarily for marketing purposes. If these platforms continue to limit, eliminate or otherwise interfere with our ability to access, collect and use personal data about our users and subscribers, our ability to identify, communicate with and market to a meaningful portion of our user and subscriber bases may be adversely impacted. If so, our customer relationship management efforts, our ability to identify, target and reach new segments of our user and subscriber bases and the population generally, the efficiency of our paid marketing efforts, the rates we are able to charge advertisers seeking to reach users and subscribers of our various properties and our ability to develop and implement safety features, policies and procedures for certain of our products and services could be adversely affected. We cannot assure you that the search engines, digital app stores and social media platforms upon which we rely will not continue to (or continue to increasingly) limit, eliminate or otherwise interfere with our ability to access, collect and use personal data about our users and subscribers or that any future platforms upon which we may rely will not do the same. To the extent that any or all of them do so, our business, financial condition and results of operations could be adversely affected.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engage directly with our users, subscribers, consumers, professionals and caregivers on a timely basis is critical to our success.</w:t>
      </w:r>
    </w:p>
    <w:p>
      <w:pPr>
        <w:spacing w:after="0" w:line="216" w:lineRule="exact"/>
        <w:rPr>
          <w:sz w:val="20"/>
          <w:szCs w:val="20"/>
          <w:color w:val="auto"/>
        </w:rPr>
      </w:pPr>
    </w:p>
    <w:p>
      <w:pPr>
        <w:jc w:val="both"/>
        <w:ind w:firstLine="360"/>
        <w:spacing w:after="0" w:line="237" w:lineRule="auto"/>
        <w:rPr>
          <w:sz w:val="20"/>
          <w:szCs w:val="20"/>
          <w:color w:val="auto"/>
        </w:rPr>
      </w:pPr>
      <w:r>
        <w:rPr>
          <w:rFonts w:ascii="Times New Roman" w:cs="Times New Roman" w:eastAsia="Times New Roman" w:hAnsi="Times New Roman"/>
          <w:sz w:val="18"/>
          <w:szCs w:val="18"/>
          <w:color w:val="auto"/>
        </w:rPr>
        <w:t>As consumers increasingly communicate via mobile and other digital devices and messaging and social media apps, email usage (particularly among younger consumers) has declined, and we expect this trend to continue. In addition, deliverability and other restrictions could limit or prevent our ability to send emails to users, subscribers, consumers, professionals and caregivers.</w:t>
      </w:r>
    </w:p>
    <w:p>
      <w:pPr>
        <w:spacing w:after="0" w:line="1" w:lineRule="exact"/>
        <w:rPr>
          <w:sz w:val="20"/>
          <w:szCs w:val="20"/>
          <w:color w:val="auto"/>
        </w:rPr>
      </w:pPr>
    </w:p>
    <w:p>
      <w:pPr>
        <w:ind w:right="20" w:firstLine="360"/>
        <w:spacing w:after="0" w:line="236" w:lineRule="auto"/>
        <w:rPr>
          <w:sz w:val="20"/>
          <w:szCs w:val="20"/>
          <w:color w:val="auto"/>
        </w:rPr>
      </w:pPr>
      <w:r>
        <w:rPr>
          <w:rFonts w:ascii="Times New Roman" w:cs="Times New Roman" w:eastAsia="Times New Roman" w:hAnsi="Times New Roman"/>
          <w:sz w:val="18"/>
          <w:szCs w:val="18"/>
          <w:color w:val="auto"/>
        </w:rPr>
        <w:t>The laws and regulations governing the use of email for marketing purposes continue to evolve, and changes in technology, the marketplace or consumer preferences may lead to the adoption of additional laws or regulations or changes in interpretation of existing laws or regulations. If new laws or regulations are adopted, or existing laws and regulations are interpreted or enforced, to impose additional restrictions on our ability to send emails to users, subscribers, consumers, professionals and caregivers, we may not be able to communicate with them in a cost-effective manner. In addition, Internet service providers, email service providers and others attempt to block the transmission of unsolicited email, commonly known as “spam.” For example, in early 2024, email providers tightened their spam thresholds. Exceeding these more stringent spam thresholds could result in some or all of the emails from our various businesses being delayed or blocked, and therefore less likely to be opened. We cannot assure you that any alternative means of communication (for example, push notifications and text messaging) will be as effective as email has been historically.</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0" w:name="page31"/>
    <w:bookmarkEnd w:id="30"/>
    <w:p>
      <w:pPr>
        <w:jc w:val="both"/>
        <w:ind w:firstLine="360"/>
        <w:spacing w:after="0" w:line="242" w:lineRule="auto"/>
        <w:rPr>
          <w:sz w:val="20"/>
          <w:szCs w:val="20"/>
          <w:color w:val="auto"/>
        </w:rPr>
      </w:pPr>
      <w:r>
        <w:rPr>
          <w:rFonts w:ascii="Times New Roman" w:cs="Times New Roman" w:eastAsia="Times New Roman" w:hAnsi="Times New Roman"/>
          <w:sz w:val="18"/>
          <w:szCs w:val="18"/>
          <w:color w:val="auto"/>
        </w:rPr>
        <w:t>Further, consumers also increasingly screen their incoming emails, telephone calls and text messages, including via screening tools and warnings, and, therefore, our users, subscribers, consumers, professionals and caregivers may not reliably receive communications from our various businesses. A continued and significant erosion in our ability to engage with users, subscribers, consumers, professionals and caregivers via email or alternative means of communication a result of legislation, blockage, screening technologies or otherwise, could adversely impact the user experience, engagement levels and conversion rates, which could adversely affect our business, financial condition and results of operations.</w:t>
      </w:r>
    </w:p>
    <w:p>
      <w:pPr>
        <w:spacing w:after="0" w:line="208"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Mr. Diller and certain members of his family are able to exercise significant influence over the composition of IAC’s board of directors, matters subject to stockholder approval and IAC’s operations.</w:t>
      </w:r>
    </w:p>
    <w:p>
      <w:pPr>
        <w:spacing w:after="0" w:line="144" w:lineRule="exact"/>
        <w:rPr>
          <w:sz w:val="20"/>
          <w:szCs w:val="20"/>
          <w:color w:val="auto"/>
        </w:rPr>
      </w:pPr>
    </w:p>
    <w:p>
      <w:pPr>
        <w:jc w:val="both"/>
        <w:ind w:right="280" w:firstLine="360"/>
        <w:spacing w:after="0" w:line="250" w:lineRule="auto"/>
        <w:rPr>
          <w:sz w:val="20"/>
          <w:szCs w:val="20"/>
          <w:color w:val="auto"/>
        </w:rPr>
      </w:pPr>
      <w:r>
        <w:rPr>
          <w:rFonts w:ascii="Times New Roman" w:cs="Times New Roman" w:eastAsia="Times New Roman" w:hAnsi="Times New Roman"/>
          <w:sz w:val="18"/>
          <w:szCs w:val="18"/>
          <w:color w:val="auto"/>
        </w:rPr>
        <w:t>As of February 7, 2025, Mr. Diller, his spouse (Diane von Furstenberg) and his stepson (Alexander von Furstenberg) collectively held (directly and through certain trusts) shares of Class B common stock and common stock that represented approximately 43% of the total outstanding voting power of IAC (based on the number of shares of Class B and common stock outstanding on February 7, 2025).</w:t>
      </w:r>
    </w:p>
    <w:p>
      <w:pPr>
        <w:spacing w:after="0" w:line="177" w:lineRule="exact"/>
        <w:rPr>
          <w:sz w:val="20"/>
          <w:szCs w:val="20"/>
          <w:color w:val="auto"/>
        </w:rPr>
      </w:pPr>
    </w:p>
    <w:p>
      <w:pPr>
        <w:ind w:right="180" w:firstLine="360"/>
        <w:spacing w:after="0" w:line="260" w:lineRule="auto"/>
        <w:rPr>
          <w:sz w:val="20"/>
          <w:szCs w:val="20"/>
          <w:color w:val="auto"/>
        </w:rPr>
      </w:pPr>
      <w:r>
        <w:rPr>
          <w:rFonts w:ascii="Times New Roman" w:cs="Times New Roman" w:eastAsia="Times New Roman" w:hAnsi="Times New Roman"/>
          <w:sz w:val="17"/>
          <w:szCs w:val="17"/>
          <w:color w:val="auto"/>
        </w:rPr>
        <w:t>As a result of the IAC securities held by these individuals, as of the date of this report, such individuals are (and are expected to continue to be), collectively, in a position to influence (subject to IAC’s organizational documents and Delaware law) the composition of IAC’s board of directors and the outcome of corporate actions requiring stockholder approval (such as mergers, business combinations and dispositions of assets, among other corporate transactions). This concentration of investment and voting power could discourage others from initiating a potential merger, takeover or other change of control transaction that may otherwise be beneficial to IAC and its stockholders, which could adversely affect the market price of IAC securities.</w:t>
      </w:r>
    </w:p>
    <w:p>
      <w:pPr>
        <w:spacing w:after="0" w:line="170" w:lineRule="exact"/>
        <w:rPr>
          <w:sz w:val="20"/>
          <w:szCs w:val="20"/>
          <w:color w:val="auto"/>
        </w:rPr>
      </w:pPr>
    </w:p>
    <w:p>
      <w:pPr>
        <w:ind w:right="260" w:firstLine="360"/>
        <w:spacing w:after="0" w:line="245" w:lineRule="auto"/>
        <w:rPr>
          <w:sz w:val="20"/>
          <w:szCs w:val="20"/>
          <w:color w:val="auto"/>
        </w:rPr>
      </w:pPr>
      <w:r>
        <w:rPr>
          <w:rFonts w:ascii="Times New Roman" w:cs="Times New Roman" w:eastAsia="Times New Roman" w:hAnsi="Times New Roman"/>
          <w:sz w:val="18"/>
          <w:szCs w:val="18"/>
          <w:color w:val="auto"/>
        </w:rPr>
        <w:t>In addition, all or a portion of the shares of Class B common stock collectively held by Mr. Diller, his spouse and stepson could be sold to a third party, which could result in the purchaser obtaining significant influence over IAC, the composition of IAC’s board of directors, matters subject to stockholder approval and IAC’s operations, without consideration being paid to holders of shares of our common stock, and without holders of shares of our common stock having a right to consent to the identity of such purchaser.</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Related to Our Liquidity, Indebtedness and Dilution</w:t>
      </w:r>
    </w:p>
    <w:p>
      <w:pPr>
        <w:spacing w:after="0" w:line="198"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Current and future indebtedness could affect our ability to operate our business, which could have a material adverse effect on our business, financial condition and results of operations.</w:t>
      </w:r>
    </w:p>
    <w:p>
      <w:pPr>
        <w:spacing w:after="0" w:line="158" w:lineRule="exact"/>
        <w:rPr>
          <w:sz w:val="20"/>
          <w:szCs w:val="20"/>
          <w:color w:val="auto"/>
        </w:rPr>
      </w:pPr>
    </w:p>
    <w:p>
      <w:pPr>
        <w:ind w:firstLine="324"/>
        <w:spacing w:after="0"/>
        <w:rPr>
          <w:sz w:val="20"/>
          <w:szCs w:val="20"/>
          <w:color w:val="auto"/>
        </w:rPr>
      </w:pPr>
      <w:r>
        <w:rPr>
          <w:rFonts w:ascii="Times New Roman" w:cs="Times New Roman" w:eastAsia="Times New Roman" w:hAnsi="Times New Roman"/>
          <w:sz w:val="18"/>
          <w:szCs w:val="18"/>
          <w:color w:val="auto"/>
        </w:rPr>
        <w:t>On December 1, 2021, Dotdash Meredith, Inc. entered into the Dotdash Meredith Credit Agreement, which provides for: (i) a five year $350 million Dotdash Meredith Term Loan A, (ii) a seven-year Dotdash Meredith $1.25 billion Term Loan B and (iii) a five year $150 million Dotdash Meredith Revolving Facility. On November 26, 2024, Dotdash Meredith Inc. entered into an amendment to the Dotdash Meredith Credit Agreement (as amended, the “Amended Dotdash Meredith Credit Agreement”), which governs both the existing Dotdash Meredith Term Loan A and the Dotdash Meredith Revolving Facility, and replaced $1.18 billion of then outstanding Dotdash Meredith Term Loan B principal with an equal amount of Dotdash Meredith Term Loan B-1 principal. As of December 31, 2024, we had total debt outstanding of approximately $2.0 billion, consisting of $297.5 million and $1.18 billion under Dotdash Meredith Term Loan A and Dotdash Meredith Term Loan B, respectively, and $500.0 million of ANGI Group Senior Notes.</w:t>
      </w:r>
    </w:p>
    <w:p>
      <w:pPr>
        <w:spacing w:after="0" w:line="212" w:lineRule="exact"/>
        <w:rPr>
          <w:sz w:val="20"/>
          <w:szCs w:val="20"/>
          <w:color w:val="auto"/>
        </w:rPr>
      </w:pPr>
    </w:p>
    <w:p>
      <w:pPr>
        <w:ind w:right="40" w:firstLine="324"/>
        <w:spacing w:after="0" w:line="237" w:lineRule="auto"/>
        <w:rPr>
          <w:sz w:val="20"/>
          <w:szCs w:val="20"/>
          <w:color w:val="auto"/>
        </w:rPr>
      </w:pPr>
      <w:r>
        <w:rPr>
          <w:rFonts w:ascii="Times New Roman" w:cs="Times New Roman" w:eastAsia="Times New Roman" w:hAnsi="Times New Roman"/>
          <w:sz w:val="18"/>
          <w:szCs w:val="18"/>
          <w:color w:val="auto"/>
        </w:rPr>
        <w:t>The Amended Dotdash Meredith Credit Agreement contains a number of covenants that restrict the ability of Dotdash Meredith and certain of its subsidiaries to take specified actions, including, among other things (and subject to certain exceptions): (i) creating liens, (ii) incurring indebtedness, (iii) making investments and acquisitions, (iv) engaging in mergers, dissolutions and other fundamental changes, (v) making dispositions, (vi) making restricted payments (including dividends and certain prepayments of junior debt, if any), (vii) consummating transactions with affiliates, (viii) entering into sale-leaseback transactions, (ix) placing restrictions on distributions from subsidiaries, and (x) changing its fiscal year. The Amended Dotdash Meredith Credit Agreement also contains customary affirmative covenants and events of default. For a description of certain restrictions in effect following the test period ended December 31, 2024, see “</w:t>
      </w:r>
      <w:r>
        <w:rPr>
          <w:rFonts w:ascii="Times New Roman" w:cs="Times New Roman" w:eastAsia="Times New Roman" w:hAnsi="Times New Roman"/>
          <w:sz w:val="18"/>
          <w:szCs w:val="18"/>
          <w:u w:val="single" w:color="auto"/>
          <w:color w:val="0000FF"/>
        </w:rPr>
        <w:t>Item 7 — Management's Discussion and Analysis of Financial Condition and Results of Operations — Financial Position,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Liquidity and Capital Resources — Liquidity and Capital Resources — Liquidity Assessment</w:t>
      </w:r>
      <w:r>
        <w:rPr>
          <w:rFonts w:ascii="Times New Roman" w:cs="Times New Roman" w:eastAsia="Times New Roman" w:hAnsi="Times New Roman"/>
          <w:sz w:val="18"/>
          <w:szCs w:val="18"/>
          <w:color w:val="000000"/>
        </w:rPr>
        <w:t>.”</w:t>
      </w:r>
    </w:p>
    <w:p>
      <w:pPr>
        <w:spacing w:after="0" w:line="187" w:lineRule="exact"/>
        <w:rPr>
          <w:sz w:val="20"/>
          <w:szCs w:val="20"/>
          <w:color w:val="auto"/>
        </w:rPr>
      </w:pPr>
    </w:p>
    <w:p>
      <w:pPr>
        <w:ind w:right="140" w:firstLine="324"/>
        <w:spacing w:after="0" w:line="245" w:lineRule="auto"/>
        <w:rPr>
          <w:sz w:val="20"/>
          <w:szCs w:val="20"/>
          <w:color w:val="auto"/>
        </w:rPr>
      </w:pPr>
      <w:r>
        <w:rPr>
          <w:rFonts w:ascii="Times New Roman" w:cs="Times New Roman" w:eastAsia="Times New Roman" w:hAnsi="Times New Roman"/>
          <w:sz w:val="18"/>
          <w:szCs w:val="18"/>
          <w:color w:val="auto"/>
        </w:rPr>
        <w:t>The obligations under the Amended Dotdash Meredith Credit Agreement are guaranteed by certain of Dotdash Meredith’s wholly-owned subsidiaries and are secured by substantially all of the assets of Dotdash Meredith and certain of its subsidiaries. Neither we nor any of our subsidiaries (other than Dotdash Meredith and its subsidiaries in the case of obligations under the Amended Dotdash Meredith Credit Agreement) guarantee any indebtedness of Dotdash Meredith nor are they subject to any of the covenants related to such indebtedness.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1" w:name="page32"/>
    <w:bookmarkEnd w:id="31"/>
    <w:p>
      <w:pPr>
        <w:ind w:left="340"/>
        <w:spacing w:after="0"/>
        <w:rPr>
          <w:sz w:val="20"/>
          <w:szCs w:val="20"/>
          <w:color w:val="auto"/>
        </w:rPr>
      </w:pPr>
      <w:r>
        <w:rPr>
          <w:rFonts w:ascii="Times New Roman" w:cs="Times New Roman" w:eastAsia="Times New Roman" w:hAnsi="Times New Roman"/>
          <w:sz w:val="18"/>
          <w:szCs w:val="18"/>
          <w:color w:val="auto"/>
        </w:rPr>
        <w:t>The terms of the Dotdash Meredith indebtedness could:</w:t>
      </w:r>
    </w:p>
    <w:p>
      <w:pPr>
        <w:spacing w:after="0" w:line="239" w:lineRule="exact"/>
        <w:rPr>
          <w:sz w:val="20"/>
          <w:szCs w:val="20"/>
          <w:color w:val="auto"/>
        </w:rPr>
      </w:pPr>
    </w:p>
    <w:p>
      <w:pPr>
        <w:ind w:left="660" w:right="140" w:hanging="328"/>
        <w:spacing w:after="0" w:line="239" w:lineRule="auto"/>
        <w:tabs>
          <w:tab w:leader="none" w:pos="648" w:val="left"/>
        </w:tabs>
        <w:numPr>
          <w:ilvl w:val="0"/>
          <w:numId w:val="15"/>
        </w:numPr>
        <w:rPr>
          <w:rFonts w:ascii="Arial" w:cs="Arial" w:eastAsia="Arial" w:hAnsi="Arial"/>
          <w:sz w:val="20"/>
          <w:szCs w:val="20"/>
          <w:color w:val="auto"/>
        </w:rPr>
      </w:pPr>
      <w:r>
        <w:rPr>
          <w:rFonts w:ascii="Times New Roman" w:cs="Times New Roman" w:eastAsia="Times New Roman" w:hAnsi="Times New Roman"/>
          <w:sz w:val="18"/>
          <w:szCs w:val="18"/>
          <w:color w:val="auto"/>
        </w:rPr>
        <w:t>limit our ability to obtain financings and the ability Dotdash Meredith to obtain additional financings to fund working capital needs, acquisitions, capital expenditures or debt service requirements or for other purposes;</w:t>
      </w:r>
    </w:p>
    <w:p>
      <w:pPr>
        <w:spacing w:after="0" w:line="212" w:lineRule="exact"/>
        <w:rPr>
          <w:rFonts w:ascii="Arial" w:cs="Arial" w:eastAsia="Arial" w:hAnsi="Arial"/>
          <w:sz w:val="20"/>
          <w:szCs w:val="20"/>
          <w:color w:val="auto"/>
        </w:rPr>
      </w:pPr>
    </w:p>
    <w:p>
      <w:pPr>
        <w:ind w:left="660" w:right="440" w:hanging="328"/>
        <w:spacing w:after="0" w:line="239" w:lineRule="auto"/>
        <w:tabs>
          <w:tab w:leader="none" w:pos="648" w:val="left"/>
        </w:tabs>
        <w:numPr>
          <w:ilvl w:val="0"/>
          <w:numId w:val="15"/>
        </w:numPr>
        <w:rPr>
          <w:rFonts w:ascii="Arial" w:cs="Arial" w:eastAsia="Arial" w:hAnsi="Arial"/>
          <w:sz w:val="20"/>
          <w:szCs w:val="20"/>
          <w:color w:val="auto"/>
        </w:rPr>
      </w:pPr>
      <w:r>
        <w:rPr>
          <w:rFonts w:ascii="Times New Roman" w:cs="Times New Roman" w:eastAsia="Times New Roman" w:hAnsi="Times New Roman"/>
          <w:sz w:val="18"/>
          <w:szCs w:val="18"/>
          <w:color w:val="auto"/>
        </w:rPr>
        <w:t>limit our ability to use operating cash flow in other areas of our businesses in the event that we need to dedicate a substantial portion of these funds to service Dotdash Meredith indebtedness;</w:t>
      </w:r>
    </w:p>
    <w:p>
      <w:pPr>
        <w:spacing w:after="0" w:line="212" w:lineRule="exact"/>
        <w:rPr>
          <w:rFonts w:ascii="Arial" w:cs="Arial" w:eastAsia="Arial" w:hAnsi="Arial"/>
          <w:sz w:val="20"/>
          <w:szCs w:val="20"/>
          <w:color w:val="auto"/>
        </w:rPr>
      </w:pPr>
    </w:p>
    <w:p>
      <w:pPr>
        <w:ind w:left="640" w:hanging="308"/>
        <w:spacing w:after="0"/>
        <w:tabs>
          <w:tab w:leader="none" w:pos="64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18"/>
          <w:szCs w:val="18"/>
          <w:color w:val="auto"/>
        </w:rPr>
        <w:t>limit our ability and the ability of Dotdash Meredith to compete with other companies who are not as highly leveraged;</w:t>
      </w:r>
    </w:p>
    <w:p>
      <w:pPr>
        <w:spacing w:after="0" w:line="215" w:lineRule="exact"/>
        <w:rPr>
          <w:rFonts w:ascii="Arial" w:cs="Arial" w:eastAsia="Arial" w:hAnsi="Arial"/>
          <w:sz w:val="20"/>
          <w:szCs w:val="20"/>
          <w:color w:val="auto"/>
        </w:rPr>
      </w:pPr>
    </w:p>
    <w:p>
      <w:pPr>
        <w:ind w:left="640" w:hanging="308"/>
        <w:spacing w:after="0"/>
        <w:tabs>
          <w:tab w:leader="none" w:pos="64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18"/>
          <w:szCs w:val="18"/>
          <w:color w:val="auto"/>
        </w:rPr>
        <w:t>restrict us or Dotdash Meredith from making strategic acquisitions, developing properties or exploiting business opportunities;</w:t>
      </w:r>
    </w:p>
    <w:p>
      <w:pPr>
        <w:spacing w:after="0" w:line="202" w:lineRule="exact"/>
        <w:rPr>
          <w:rFonts w:ascii="Arial" w:cs="Arial" w:eastAsia="Arial" w:hAnsi="Arial"/>
          <w:sz w:val="20"/>
          <w:szCs w:val="20"/>
          <w:color w:val="auto"/>
        </w:rPr>
      </w:pPr>
    </w:p>
    <w:p>
      <w:pPr>
        <w:ind w:left="640" w:hanging="308"/>
        <w:spacing w:after="0"/>
        <w:tabs>
          <w:tab w:leader="none" w:pos="64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18"/>
          <w:szCs w:val="18"/>
          <w:color w:val="auto"/>
        </w:rPr>
        <w:t>restrict the way in which we or Dotdash Meredith conduct business;</w:t>
      </w:r>
    </w:p>
    <w:p>
      <w:pPr>
        <w:spacing w:after="0" w:line="215" w:lineRule="exact"/>
        <w:rPr>
          <w:rFonts w:ascii="Arial" w:cs="Arial" w:eastAsia="Arial" w:hAnsi="Arial"/>
          <w:sz w:val="20"/>
          <w:szCs w:val="20"/>
          <w:color w:val="auto"/>
        </w:rPr>
      </w:pPr>
    </w:p>
    <w:p>
      <w:pPr>
        <w:ind w:left="660" w:right="20" w:hanging="328"/>
        <w:spacing w:after="0" w:line="239" w:lineRule="auto"/>
        <w:tabs>
          <w:tab w:leader="none" w:pos="648" w:val="left"/>
        </w:tabs>
        <w:numPr>
          <w:ilvl w:val="0"/>
          <w:numId w:val="15"/>
        </w:numPr>
        <w:rPr>
          <w:rFonts w:ascii="Arial" w:cs="Arial" w:eastAsia="Arial" w:hAnsi="Arial"/>
          <w:sz w:val="20"/>
          <w:szCs w:val="20"/>
          <w:color w:val="auto"/>
        </w:rPr>
      </w:pPr>
      <w:r>
        <w:rPr>
          <w:rFonts w:ascii="Times New Roman" w:cs="Times New Roman" w:eastAsia="Times New Roman" w:hAnsi="Times New Roman"/>
          <w:sz w:val="18"/>
          <w:szCs w:val="18"/>
          <w:color w:val="auto"/>
        </w:rPr>
        <w:t>expose us to potential events of default, which if not cured or waived, could have a material adverse effect on our business, financial condition and operating results and that of Dotdash Meredith;</w:t>
      </w:r>
    </w:p>
    <w:p>
      <w:pPr>
        <w:spacing w:after="0" w:line="212" w:lineRule="exact"/>
        <w:rPr>
          <w:rFonts w:ascii="Arial" w:cs="Arial" w:eastAsia="Arial" w:hAnsi="Arial"/>
          <w:sz w:val="20"/>
          <w:szCs w:val="20"/>
          <w:color w:val="auto"/>
        </w:rPr>
      </w:pPr>
    </w:p>
    <w:p>
      <w:pPr>
        <w:ind w:left="660" w:right="660" w:hanging="328"/>
        <w:spacing w:after="0" w:line="239" w:lineRule="auto"/>
        <w:tabs>
          <w:tab w:leader="none" w:pos="648" w:val="left"/>
        </w:tabs>
        <w:numPr>
          <w:ilvl w:val="0"/>
          <w:numId w:val="15"/>
        </w:numPr>
        <w:rPr>
          <w:rFonts w:ascii="Arial" w:cs="Arial" w:eastAsia="Arial" w:hAnsi="Arial"/>
          <w:sz w:val="20"/>
          <w:szCs w:val="20"/>
          <w:color w:val="auto"/>
        </w:rPr>
      </w:pPr>
      <w:r>
        <w:rPr>
          <w:rFonts w:ascii="Times New Roman" w:cs="Times New Roman" w:eastAsia="Times New Roman" w:hAnsi="Times New Roman"/>
          <w:sz w:val="18"/>
          <w:szCs w:val="18"/>
          <w:color w:val="auto"/>
        </w:rPr>
        <w:t>increase our and Dotdash Meredith’s vulnerability to a downturn in general economic conditions or in pricing of our various products and services; and</w:t>
      </w:r>
    </w:p>
    <w:p>
      <w:pPr>
        <w:spacing w:after="0" w:line="212" w:lineRule="exact"/>
        <w:rPr>
          <w:rFonts w:ascii="Arial" w:cs="Arial" w:eastAsia="Arial" w:hAnsi="Arial"/>
          <w:sz w:val="20"/>
          <w:szCs w:val="20"/>
          <w:color w:val="auto"/>
        </w:rPr>
      </w:pPr>
    </w:p>
    <w:p>
      <w:pPr>
        <w:ind w:left="640" w:hanging="308"/>
        <w:spacing w:after="0"/>
        <w:tabs>
          <w:tab w:leader="none" w:pos="64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18"/>
          <w:szCs w:val="18"/>
          <w:color w:val="auto"/>
        </w:rPr>
        <w:t>limit our ability and the ability of Dotdash Meredith to react to changing market conditions in the various industries in which we do business.</w:t>
      </w:r>
    </w:p>
    <w:p>
      <w:pPr>
        <w:spacing w:after="0" w:line="189" w:lineRule="exact"/>
        <w:rPr>
          <w:sz w:val="20"/>
          <w:szCs w:val="20"/>
          <w:color w:val="auto"/>
        </w:rPr>
      </w:pPr>
    </w:p>
    <w:p>
      <w:pPr>
        <w:ind w:right="40" w:firstLine="324"/>
        <w:spacing w:after="0" w:line="250" w:lineRule="auto"/>
        <w:rPr>
          <w:sz w:val="20"/>
          <w:szCs w:val="20"/>
          <w:color w:val="auto"/>
        </w:rPr>
      </w:pPr>
      <w:r>
        <w:rPr>
          <w:rFonts w:ascii="Times New Roman" w:cs="Times New Roman" w:eastAsia="Times New Roman" w:hAnsi="Times New Roman"/>
          <w:sz w:val="18"/>
          <w:szCs w:val="18"/>
          <w:color w:val="auto"/>
        </w:rPr>
        <w:t>We may incur, and subject to restrictions in the Amended Dotdash Meredith Credit Agreement, Dotdash Meredith may incur, additional, indebtedness. Any additional indebtedness incurred by us (or Dotdash Meredith in compliance with applicable restrictions) that is significant could increase the risks described above.</w:t>
      </w:r>
    </w:p>
    <w:p>
      <w:pPr>
        <w:spacing w:after="0" w:line="177" w:lineRule="exact"/>
        <w:rPr>
          <w:sz w:val="20"/>
          <w:szCs w:val="20"/>
          <w:color w:val="auto"/>
        </w:rPr>
      </w:pPr>
    </w:p>
    <w:p>
      <w:pPr>
        <w:ind w:right="400" w:firstLine="324"/>
        <w:spacing w:after="0" w:line="266" w:lineRule="auto"/>
        <w:rPr>
          <w:sz w:val="20"/>
          <w:szCs w:val="20"/>
          <w:color w:val="auto"/>
        </w:rPr>
      </w:pPr>
      <w:r>
        <w:rPr>
          <w:rFonts w:ascii="Times New Roman" w:cs="Times New Roman" w:eastAsia="Times New Roman" w:hAnsi="Times New Roman"/>
          <w:sz w:val="18"/>
          <w:szCs w:val="18"/>
          <w:color w:val="auto"/>
        </w:rPr>
        <w:t>For additional information regarding the Amended Dotdash Meredith Credit Agreement and indebtedness outstanding thereunder, see “</w:t>
      </w:r>
      <w:r>
        <w:rPr>
          <w:rFonts w:ascii="Times New Roman" w:cs="Times New Roman" w:eastAsia="Times New Roman" w:hAnsi="Times New Roman"/>
          <w:sz w:val="18"/>
          <w:szCs w:val="18"/>
          <w:u w:val="single" w:color="auto"/>
          <w:color w:val="0000FF"/>
        </w:rPr>
        <w:t>Item 7 —</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Management's Discussion and Analysis of Financial Condition and Results of Operations — Financial Position, Liquidity and Capital Resources</w:t>
      </w:r>
      <w:r>
        <w:rPr>
          <w:rFonts w:ascii="Times New Roman" w:cs="Times New Roman" w:eastAsia="Times New Roman" w:hAnsi="Times New Roman"/>
          <w:sz w:val="18"/>
          <w:szCs w:val="18"/>
          <w:color w:val="000000"/>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generate sufficient cash to service all of our indebtedness.</w:t>
      </w:r>
    </w:p>
    <w:p>
      <w:pPr>
        <w:spacing w:after="0" w:line="216" w:lineRule="exact"/>
        <w:rPr>
          <w:sz w:val="20"/>
          <w:szCs w:val="20"/>
          <w:color w:val="auto"/>
        </w:rPr>
      </w:pPr>
    </w:p>
    <w:p>
      <w:pPr>
        <w:ind w:right="80" w:firstLine="324"/>
        <w:spacing w:after="0" w:line="250" w:lineRule="auto"/>
        <w:rPr>
          <w:sz w:val="20"/>
          <w:szCs w:val="20"/>
          <w:color w:val="auto"/>
        </w:rPr>
      </w:pPr>
      <w:r>
        <w:rPr>
          <w:rFonts w:ascii="Times New Roman" w:cs="Times New Roman" w:eastAsia="Times New Roman" w:hAnsi="Times New Roman"/>
          <w:sz w:val="18"/>
          <w:szCs w:val="18"/>
          <w:color w:val="auto"/>
        </w:rPr>
        <w:t>The ability of Dotdash Meredith and Angi to satisfy scheduled debt obligations under their respective debt agreements will depend upon, among other things:</w:t>
      </w:r>
    </w:p>
    <w:p>
      <w:pPr>
        <w:spacing w:after="0" w:line="203" w:lineRule="exact"/>
        <w:rPr>
          <w:sz w:val="20"/>
          <w:szCs w:val="20"/>
          <w:color w:val="auto"/>
        </w:rPr>
      </w:pPr>
    </w:p>
    <w:p>
      <w:pPr>
        <w:ind w:left="660" w:right="80" w:hanging="328"/>
        <w:spacing w:after="0" w:line="239" w:lineRule="auto"/>
        <w:tabs>
          <w:tab w:leader="none" w:pos="648" w:val="left"/>
        </w:tabs>
        <w:numPr>
          <w:ilvl w:val="0"/>
          <w:numId w:val="16"/>
        </w:numPr>
        <w:rPr>
          <w:rFonts w:ascii="Arial" w:cs="Arial" w:eastAsia="Arial" w:hAnsi="Arial"/>
          <w:sz w:val="20"/>
          <w:szCs w:val="20"/>
          <w:color w:val="auto"/>
        </w:rPr>
      </w:pPr>
      <w:r>
        <w:rPr>
          <w:rFonts w:ascii="Times New Roman" w:cs="Times New Roman" w:eastAsia="Times New Roman" w:hAnsi="Times New Roman"/>
          <w:sz w:val="18"/>
          <w:szCs w:val="18"/>
          <w:color w:val="auto"/>
        </w:rPr>
        <w:t>their future financial and operating performance, which will be affected by prevailing economic conditions and financial, business, regulatory and other factors, many of which are beyond our control;</w:t>
      </w:r>
    </w:p>
    <w:p>
      <w:pPr>
        <w:spacing w:after="0" w:line="212" w:lineRule="exact"/>
        <w:rPr>
          <w:rFonts w:ascii="Arial" w:cs="Arial" w:eastAsia="Arial" w:hAnsi="Arial"/>
          <w:sz w:val="20"/>
          <w:szCs w:val="20"/>
          <w:color w:val="auto"/>
        </w:rPr>
      </w:pPr>
    </w:p>
    <w:p>
      <w:pPr>
        <w:ind w:left="640" w:hanging="308"/>
        <w:spacing w:after="0"/>
        <w:tabs>
          <w:tab w:leader="none" w:pos="64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18"/>
          <w:szCs w:val="18"/>
          <w:color w:val="auto"/>
        </w:rPr>
        <w:t>their future ability to incur indebtedness; and</w:t>
      </w:r>
    </w:p>
    <w:p>
      <w:pPr>
        <w:spacing w:after="0" w:line="188" w:lineRule="exact"/>
        <w:rPr>
          <w:rFonts w:ascii="Arial" w:cs="Arial" w:eastAsia="Arial" w:hAnsi="Arial"/>
          <w:sz w:val="20"/>
          <w:szCs w:val="20"/>
          <w:color w:val="auto"/>
        </w:rPr>
      </w:pPr>
    </w:p>
    <w:p>
      <w:pPr>
        <w:ind w:left="660" w:right="200" w:hanging="328"/>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Dotdash Meredith only, the future ability to borrow under the Dotdash Meredith Revolving Facility, which will depend on, among other things, the ability of Dotdash Meredith to comply with the covenants governing its current indebtedness.</w:t>
      </w:r>
    </w:p>
    <w:p>
      <w:pPr>
        <w:spacing w:after="0" w:line="162" w:lineRule="exact"/>
        <w:rPr>
          <w:sz w:val="20"/>
          <w:szCs w:val="20"/>
          <w:color w:val="auto"/>
        </w:rPr>
      </w:pPr>
    </w:p>
    <w:p>
      <w:pPr>
        <w:ind w:firstLine="324"/>
        <w:spacing w:after="0" w:line="237" w:lineRule="auto"/>
        <w:rPr>
          <w:sz w:val="20"/>
          <w:szCs w:val="20"/>
          <w:color w:val="auto"/>
        </w:rPr>
      </w:pPr>
      <w:r>
        <w:rPr>
          <w:rFonts w:ascii="Times New Roman" w:cs="Times New Roman" w:eastAsia="Times New Roman" w:hAnsi="Times New Roman"/>
          <w:sz w:val="18"/>
          <w:szCs w:val="18"/>
          <w:color w:val="auto"/>
        </w:rPr>
        <w:t>Neither Dotdash Meredith nor Angi may be able to generate sufficient cash flow from their respective operations (and/or, in the case of Dotdash Meredith only, borrow under the Dotdash Meredith Revolving Facility) in amounts sufficient to meet their respective scheduled debt obligations. See also “-We may not freely access the cash of Dotdash Meredith and Angi Inc. and its subsidiaries” below. If so, they could be forced to reduce or delay capital expenditures, sell assets or seek additional capital (in the case of Dotdash Meredith only, in a manner that complies with the terms (including certain restrictions and limitations) of the Amended Dotdash Meredith Credit Agreement). If these efforts do not generate sufficient funds to meet scheduled debt obligations, they would need to seek additional financing and/or negotiate with lenders to restructure or refinance their respective outstanding indebtedness. Their ability to do so would depend on the condition of the capital markets and their respective financial condition at such time. Any such financing, restructuring or refinancing could be on less favorable terms than those of their current respective indebtedness (and if Dotdash Meredith is the borrower, would need to comply with the terms (including certain restrictions and limitations) of such agreement).</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auto"/>
        </w:rPr>
        <w:t>Variable rate indebtedness and interest rate swaps subject us to interest rate risk and counterparty risk, respectively.</w:t>
      </w:r>
    </w:p>
    <w:p>
      <w:pPr>
        <w:spacing w:after="0" w:line="216" w:lineRule="exact"/>
        <w:rPr>
          <w:sz w:val="20"/>
          <w:szCs w:val="20"/>
          <w:color w:val="auto"/>
        </w:rPr>
      </w:pPr>
    </w:p>
    <w:p>
      <w:pPr>
        <w:ind w:firstLine="324"/>
        <w:spacing w:after="0" w:line="237" w:lineRule="auto"/>
        <w:rPr>
          <w:sz w:val="20"/>
          <w:szCs w:val="20"/>
          <w:color w:val="auto"/>
        </w:rPr>
      </w:pPr>
      <w:r>
        <w:rPr>
          <w:rFonts w:ascii="Times New Roman" w:cs="Times New Roman" w:eastAsia="Times New Roman" w:hAnsi="Times New Roman"/>
          <w:sz w:val="18"/>
          <w:szCs w:val="18"/>
          <w:color w:val="auto"/>
        </w:rPr>
        <w:t>As of December 31, 2024, we had total debt outstanding of approximately $2.0 billion, consisting of $297.5 million and $1.18 billion under Dotdash Meredith Term Loan A and Dotdash Meredith Term Loan B-1, respectively, which bear interest at variable rates, and $500.0 million in aggregate principal amount of ANGI Group Senior Notes, which bear interest at a fixed rate. As of that date, we had borrowing availability of $150 million under the Dotdash Meredith Revolving Facility. Borrowings under Dotdash Meredith Term Loans A and B-1 are, and any borrowings under the Dotdash Meredith Revolving Facility will be, at variable interest rates, which exposes us to interest rate risk. To hedge a portion of the interest rate risk in respect of this indebtedness, Dotdash Meredith has entered into interest rate swaps in the case of the Dotdash Meredith Term Loan B-1) for a total notional amount of $350 million with a maturity date of April 1, 2027. These interest rate swaps expose Dotdash Meredith to counterparty credit risk based on the potential default of one or more counterparties.</w:t>
      </w:r>
    </w:p>
    <w:p>
      <w:pPr>
        <w:spacing w:after="0" w:line="79" w:lineRule="exact"/>
        <w:rPr>
          <w:sz w:val="20"/>
          <w:szCs w:val="20"/>
          <w:color w:val="auto"/>
        </w:rPr>
      </w:pPr>
    </w:p>
    <w:p>
      <w:pPr>
        <w:jc w:val="both"/>
        <w:ind w:right="60" w:firstLine="324"/>
        <w:spacing w:after="0" w:line="260" w:lineRule="auto"/>
        <w:rPr>
          <w:sz w:val="20"/>
          <w:szCs w:val="20"/>
          <w:color w:val="auto"/>
        </w:rPr>
      </w:pPr>
      <w:r>
        <w:rPr>
          <w:rFonts w:ascii="Times New Roman" w:cs="Times New Roman" w:eastAsia="Times New Roman" w:hAnsi="Times New Roman"/>
          <w:sz w:val="17"/>
          <w:szCs w:val="17"/>
          <w:color w:val="auto"/>
        </w:rPr>
        <w:t>For details regarding: (i) the variable interest rates applicable to indebtedness outstanding under the Amended Dotdash Meredith Credit Agreement as of December 31, 2024 and how certain increases and decreases in those rates would affect related interest expense as of December 31, 2024 and generally,</w:t>
      </w:r>
    </w:p>
    <w:p>
      <w:pPr>
        <w:spacing w:after="0" w:line="1" w:lineRule="exact"/>
        <w:rPr>
          <w:sz w:val="20"/>
          <w:szCs w:val="20"/>
          <w:color w:val="auto"/>
        </w:rPr>
      </w:pPr>
    </w:p>
    <w:p>
      <w:pPr>
        <w:ind w:right="360" w:firstLine="8"/>
        <w:spacing w:after="0" w:line="239" w:lineRule="auto"/>
        <w:tabs>
          <w:tab w:leader="none" w:pos="26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swaps on Dotdash Meredith Term Loan B-1 and (iii) the fixed interest rates applicable to the ANGI Group Senior Notes and how certain increases and decreases in market rates relative to those rates would affect the fair value of this indebtedness, see “</w:t>
      </w:r>
      <w:r>
        <w:rPr>
          <w:rFonts w:ascii="Times New Roman" w:cs="Times New Roman" w:eastAsia="Times New Roman" w:hAnsi="Times New Roman"/>
          <w:sz w:val="18"/>
          <w:szCs w:val="18"/>
          <w:u w:val="single" w:color="auto"/>
          <w:color w:val="0000FF"/>
        </w:rPr>
        <w:t>Item 7A — Quantitative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Qualitative Disclosures About Market Risk</w:t>
      </w:r>
      <w:r>
        <w:rPr>
          <w:rFonts w:ascii="Times New Roman" w:cs="Times New Roman" w:eastAsia="Times New Roman" w:hAnsi="Times New Roman"/>
          <w:sz w:val="18"/>
          <w:szCs w:val="18"/>
          <w:color w:val="000000"/>
        </w:rPr>
        <w: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freely access the cash of Dotdash Meredith and/or Angi and their respective subsidiaries.</w:t>
      </w:r>
    </w:p>
    <w:p>
      <w:pPr>
        <w:spacing w:after="0" w:line="216" w:lineRule="exact"/>
        <w:rPr>
          <w:sz w:val="20"/>
          <w:szCs w:val="20"/>
          <w:color w:val="auto"/>
        </w:rPr>
      </w:pPr>
    </w:p>
    <w:p>
      <w:pPr>
        <w:ind w:firstLine="360"/>
        <w:spacing w:after="0" w:line="238" w:lineRule="auto"/>
        <w:rPr>
          <w:sz w:val="20"/>
          <w:szCs w:val="20"/>
          <w:color w:val="auto"/>
        </w:rPr>
      </w:pPr>
      <w:r>
        <w:rPr>
          <w:rFonts w:ascii="Times New Roman" w:cs="Times New Roman" w:eastAsia="Times New Roman" w:hAnsi="Times New Roman"/>
          <w:sz w:val="18"/>
          <w:szCs w:val="18"/>
          <w:color w:val="auto"/>
        </w:rPr>
        <w:t>Our potential sources of cash include our available cash balances, net cash from the operating activities of certain of our subsidiaries and proceeds from asset sales, including marketable securities. While the ability of our operating subsidiaries to pay dividends or make other payments or advances to us depends on their individual operating results and applicable statutory, regulatory or contractual restrictions generally, in the case of Dotdash Meredith, the terms of the Amended Dotdash Meredith Credit Agreement limit the ability of Dotdash Meredith to pay dividends or make distributions, loans or advances to stockholders (including IAC) in certain circumstances. See “</w:t>
      </w:r>
      <w:r>
        <w:rPr>
          <w:rFonts w:ascii="Times New Roman" w:cs="Times New Roman" w:eastAsia="Times New Roman" w:hAnsi="Times New Roman"/>
          <w:sz w:val="18"/>
          <w:szCs w:val="18"/>
          <w:u w:val="single" w:color="auto"/>
          <w:color w:val="0000FF"/>
        </w:rPr>
        <w:t>Item 8 — Financial Statements and Supplementary Data — Note 6 — Long-Term Debt</w:t>
      </w:r>
      <w:r>
        <w:rPr>
          <w:rFonts w:ascii="Times New Roman" w:cs="Times New Roman" w:eastAsia="Times New Roman" w:hAnsi="Times New Roman"/>
          <w:sz w:val="18"/>
          <w:szCs w:val="18"/>
          <w:color w:val="auto"/>
        </w:rPr>
        <w:t>.” In addition, because Angi is a separate and distinct publicly traded legal entity, Angi has no obligation to provide us with funds.</w:t>
      </w:r>
    </w:p>
    <w:p>
      <w:pPr>
        <w:spacing w:after="0" w:line="182"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You may experience dilution with respect to your investment in IAC, and IAC may experience dilution with respect to its investment in Angi, as a result of compensatory equity awards.</w:t>
      </w:r>
    </w:p>
    <w:p>
      <w:pPr>
        <w:spacing w:after="0" w:line="158" w:lineRule="exact"/>
        <w:rPr>
          <w:sz w:val="20"/>
          <w:szCs w:val="20"/>
          <w:color w:val="auto"/>
        </w:rPr>
      </w:pPr>
    </w:p>
    <w:p>
      <w:pPr>
        <w:ind w:right="420" w:firstLine="360"/>
        <w:spacing w:after="0" w:line="266" w:lineRule="auto"/>
        <w:rPr>
          <w:sz w:val="20"/>
          <w:szCs w:val="20"/>
          <w:color w:val="auto"/>
        </w:rPr>
      </w:pPr>
      <w:r>
        <w:rPr>
          <w:rFonts w:ascii="Times New Roman" w:cs="Times New Roman" w:eastAsia="Times New Roman" w:hAnsi="Times New Roman"/>
          <w:sz w:val="18"/>
          <w:szCs w:val="18"/>
          <w:color w:val="auto"/>
        </w:rPr>
        <w:t>IAC has issued various compensatory equity awards, including stock options, restricted stock units and stock appreciation rights denominated in shares of IAC common stock, as well as in equity of certain of its consolidated subsidiaries, including Angi and certain of its subsidiaries.</w:t>
      </w:r>
    </w:p>
    <w:p>
      <w:pPr>
        <w:spacing w:after="0" w:line="162" w:lineRule="exact"/>
        <w:rPr>
          <w:sz w:val="20"/>
          <w:szCs w:val="20"/>
          <w:color w:val="auto"/>
        </w:rPr>
      </w:pPr>
    </w:p>
    <w:p>
      <w:pPr>
        <w:ind w:right="120" w:firstLine="360"/>
        <w:spacing w:after="0" w:line="237" w:lineRule="auto"/>
        <w:rPr>
          <w:sz w:val="20"/>
          <w:szCs w:val="20"/>
          <w:color w:val="auto"/>
        </w:rPr>
      </w:pPr>
      <w:r>
        <w:rPr>
          <w:rFonts w:ascii="Times New Roman" w:cs="Times New Roman" w:eastAsia="Times New Roman" w:hAnsi="Times New Roman"/>
          <w:sz w:val="18"/>
          <w:szCs w:val="18"/>
          <w:color w:val="auto"/>
        </w:rPr>
        <w:t>The issuance of shares of IAC common stock in settlement of these equity awards could dilute your ownership interest in IAC. Angi compensatory equity awards that are settled in shares of Class A common stock of Angi could dilute IAC’s ownership interest in Angi. The dilution of IAC’s ownership stake in Angi could impact its ability, among other things, to maintain Angi as part of its consolidated tax group for U.S. federal income tax purposes, to effect a tax-free distribution of its Angi stake to its stockholders or to maintain control of Angi. As IAC generally has the right to maintain its levels of ownership in Angi to the extent Angi issues additional shares of its capital stock in the future pursuant to an investor rights agreement, IAC does not currently intend to allow any of the foregoing to occur. With respect to awards denominated in shares of IAC’s non-publicly traded subsidiaries, IAC estimates the dilutive impact of those awards based on the estimated fair value of those subsidiaries. Those estimates may change from time to time, and the fair value determined in connection with vesting and liquidity events could lead to more or less dilution than reflected in IAC’s diluted earnings per share calculation.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the Distribution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IAC and Angi may be unable to achieve some or all of the benefits that they expect to achieve as a result of the Distribution.</w:t>
      </w:r>
    </w:p>
    <w:p>
      <w:pPr>
        <w:spacing w:after="0" w:line="243"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IAC and Angi may be unable to achieve the full strategic and financial benefits they expect to achieve as a result of the Distribution, or such benefits may be delayed or may never occur at all. The Distribution is expected to provide the following benefits, among others:</w:t>
      </w:r>
    </w:p>
    <w:p>
      <w:pPr>
        <w:spacing w:after="0" w:line="189"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Times New Roman" w:cs="Times New Roman" w:eastAsia="Times New Roman" w:hAnsi="Times New Roman"/>
          <w:sz w:val="18"/>
          <w:szCs w:val="18"/>
          <w:color w:val="auto"/>
        </w:rPr>
        <w:t>enabling each of IAC and Angi to adopt a capital structure and make investments best suited for its own objectives and needs;</w:t>
      </w:r>
    </w:p>
    <w:p>
      <w:pPr>
        <w:spacing w:after="0" w:line="14"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facilitating capital raising and strategic acquisitions by each company;</w:t>
      </w:r>
    </w:p>
    <w:p>
      <w:pPr>
        <w:spacing w:after="0" w:line="200" w:lineRule="exact"/>
        <w:rPr>
          <w:sz w:val="20"/>
          <w:szCs w:val="20"/>
          <w:color w:val="auto"/>
        </w:rPr>
      </w:pPr>
    </w:p>
    <w:p>
      <w:pPr>
        <w:spacing w:after="0" w:line="3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9" w:right="399" w:bottom="1440" w:gutter="0" w:footer="0" w:header="0"/>
        </w:sectPr>
      </w:pPr>
    </w:p>
    <w:bookmarkStart w:id="33" w:name="page34"/>
    <w:bookmarkEnd w:id="33"/>
    <w:p>
      <w:pPr>
        <w:ind w:left="660" w:right="140" w:hanging="328"/>
        <w:spacing w:after="0" w:line="246"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increase in the aggregate equity value of the two companies, including by way of attracting new investors to Angi post-Distribution; and</w:t>
      </w: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transparency at IAC through the simplification of IAC’s corporate structure.</w:t>
      </w:r>
    </w:p>
    <w:p>
      <w:pPr>
        <w:spacing w:after="0" w:line="219" w:lineRule="exact"/>
        <w:rPr>
          <w:sz w:val="20"/>
          <w:szCs w:val="20"/>
          <w:color w:val="auto"/>
        </w:rPr>
      </w:pPr>
    </w:p>
    <w:p>
      <w:pPr>
        <w:ind w:right="40" w:firstLine="324"/>
        <w:spacing w:after="0" w:line="237" w:lineRule="auto"/>
        <w:rPr>
          <w:sz w:val="20"/>
          <w:szCs w:val="20"/>
          <w:color w:val="auto"/>
        </w:rPr>
      </w:pPr>
      <w:r>
        <w:rPr>
          <w:rFonts w:ascii="Times New Roman" w:cs="Times New Roman" w:eastAsia="Times New Roman" w:hAnsi="Times New Roman"/>
          <w:sz w:val="18"/>
          <w:szCs w:val="18"/>
          <w:color w:val="auto"/>
        </w:rPr>
        <w:t>The parties may not achieve these or other anticipated benefits for a variety of reasons, including, among others: (i) the possibility that the Distribution will be abandoned prior to completion, or will otherwise not be completed, (ii) the possibility that IAC’s non-Angi businesses will not be successful, and that IAC will not succeed in identifying new profitable acquisitions or other opportunities, (iii) the fact that the prices of IAC and Angi securities may be more susceptible to market fluctuations and other adverse events following the consummation of the Distribution, (iv) the risk of litigation, injunctions or other legal proceedings relating to the Distribution, and (v) the Distribution will require significant amounts of management time and effort, which may divert management attention from operating and growing the respective businesses of IAC and Angi. If IAC and Angi fail to achieve some or all of the benefits they expected to achieve as a result of the Distribution, or if such benefits are delayed, the business, financial condition and results of operations of IAC and/or Angi could be materially and adversely affected.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Following the Distribution, IAC will be a smaller, less diversified company than IAC prior to the Distribution.</w:t>
      </w:r>
    </w:p>
    <w:p>
      <w:pPr>
        <w:spacing w:after="0" w:line="243" w:lineRule="exact"/>
        <w:rPr>
          <w:sz w:val="20"/>
          <w:szCs w:val="20"/>
          <w:color w:val="auto"/>
        </w:rPr>
      </w:pPr>
    </w:p>
    <w:p>
      <w:pPr>
        <w:ind w:right="240" w:firstLine="324"/>
        <w:spacing w:after="0" w:line="250" w:lineRule="auto"/>
        <w:rPr>
          <w:sz w:val="20"/>
          <w:szCs w:val="20"/>
          <w:color w:val="auto"/>
        </w:rPr>
      </w:pPr>
      <w:r>
        <w:rPr>
          <w:rFonts w:ascii="Times New Roman" w:cs="Times New Roman" w:eastAsia="Times New Roman" w:hAnsi="Times New Roman"/>
          <w:sz w:val="18"/>
          <w:szCs w:val="18"/>
          <w:color w:val="auto"/>
        </w:rPr>
        <w:t>Following the Distribution, IAC will be a smaller, less diversified company with fewer businesses. As a result, IAC may be more vulnerable to changing market conditions, which could have a material adverse effect on its business, financial condition and results of operations and may subject the price of its common stock to increased volatility.</w:t>
      </w:r>
    </w:p>
    <w:p>
      <w:pPr>
        <w:spacing w:after="0" w:line="200" w:lineRule="exact"/>
        <w:rPr>
          <w:sz w:val="20"/>
          <w:szCs w:val="20"/>
          <w:color w:val="auto"/>
        </w:rPr>
      </w:pPr>
    </w:p>
    <w:p>
      <w:pPr>
        <w:ind w:right="5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the Distribution fails to qualify as a transaction that is generally tax-free for U.S. federal income tax purposes, IAC, Angi and their respective stockholders could suffer material adverse consequences.</w:t>
      </w:r>
    </w:p>
    <w:p>
      <w:pPr>
        <w:spacing w:after="0" w:line="185" w:lineRule="exact"/>
        <w:rPr>
          <w:sz w:val="20"/>
          <w:szCs w:val="20"/>
          <w:color w:val="auto"/>
        </w:rPr>
      </w:pPr>
    </w:p>
    <w:p>
      <w:pPr>
        <w:ind w:right="20" w:firstLine="324"/>
        <w:spacing w:after="0" w:line="237" w:lineRule="auto"/>
        <w:rPr>
          <w:sz w:val="20"/>
          <w:szCs w:val="20"/>
          <w:color w:val="auto"/>
        </w:rPr>
      </w:pPr>
      <w:r>
        <w:rPr>
          <w:rFonts w:ascii="Times New Roman" w:cs="Times New Roman" w:eastAsia="Times New Roman" w:hAnsi="Times New Roman"/>
          <w:sz w:val="18"/>
          <w:szCs w:val="18"/>
          <w:color w:val="auto"/>
        </w:rPr>
        <w:t>It is a condition to the completion of the Distribution that IAC receive an opinion of outside counsel, among other things, to the effect that the Distribution will qualify as a transaction that is generally tax-free for U.S. federal income tax purposes under Section 355(a) of the Internal Revenue Code (the “Code”). This opinion will be based upon and rely on, among other things, various facts and assumptions, as well as certain representations, statements and undertakings of IAC and Angi, including those relating to the past and future conduct of IAC and Angi. If any of these representations, statements or undertakings is, or becomes, inaccurate or incomplete, or if any of the representations or covenants contained in any of the Distribution-related agreements and documents or in any document relating to the opinion of counsel are inaccurate or not complied with by IAC, Angi or any of their respective subsidiaries, such opinion may be invalid and the conclusions reached therein could be jeopardized.</w:t>
      </w:r>
    </w:p>
    <w:p>
      <w:pPr>
        <w:spacing w:after="0" w:line="216" w:lineRule="exact"/>
        <w:rPr>
          <w:sz w:val="20"/>
          <w:szCs w:val="20"/>
          <w:color w:val="auto"/>
        </w:rPr>
      </w:pPr>
    </w:p>
    <w:p>
      <w:pPr>
        <w:jc w:val="both"/>
        <w:ind w:firstLine="324"/>
        <w:spacing w:after="0"/>
        <w:rPr>
          <w:sz w:val="20"/>
          <w:szCs w:val="20"/>
          <w:color w:val="auto"/>
        </w:rPr>
      </w:pPr>
      <w:r>
        <w:rPr>
          <w:rFonts w:ascii="Times New Roman" w:cs="Times New Roman" w:eastAsia="Times New Roman" w:hAnsi="Times New Roman"/>
          <w:sz w:val="18"/>
          <w:szCs w:val="18"/>
          <w:color w:val="auto"/>
        </w:rPr>
        <w:t>Notwithstanding the receipt of an opinion of counsel regarding the Distribution, the U.S. Internal Revenue Service (the “IRS”) could determine that the Distribution should be treated as a taxable transaction for U.S. federal income tax purposes if it determines that any of the representations, assumptions or undertakings upon which such opinion was based are inaccurate or have not been complied with. This opinion will represent the judgment of IAC’s outside counsel and will not be binding on the IRS or any court, and the IRS or a court may disagree with the conclusions in such opinion. Accordingly, notwithstanding the receipt of such opinion by IAC, there can be no assurance that the IRS will not assert that the Distribution does not qualify for tax-free treatment for U.S. federal income tax purposes or that a court would not sustain such a challenge. In the event the IRS were to prevail with such a challenge, IAC and Angi and their respective stockholders could suffer material adverse consequences.</w:t>
      </w:r>
    </w:p>
    <w:p>
      <w:pPr>
        <w:spacing w:after="0" w:line="212" w:lineRule="exact"/>
        <w:rPr>
          <w:sz w:val="20"/>
          <w:szCs w:val="20"/>
          <w:color w:val="auto"/>
        </w:rPr>
      </w:pPr>
    </w:p>
    <w:p>
      <w:pPr>
        <w:jc w:val="both"/>
        <w:ind w:firstLine="324"/>
        <w:spacing w:after="0" w:line="236" w:lineRule="auto"/>
        <w:rPr>
          <w:sz w:val="20"/>
          <w:szCs w:val="20"/>
          <w:color w:val="auto"/>
        </w:rPr>
      </w:pPr>
      <w:r>
        <w:rPr>
          <w:rFonts w:ascii="Times New Roman" w:cs="Times New Roman" w:eastAsia="Times New Roman" w:hAnsi="Times New Roman"/>
          <w:sz w:val="18"/>
          <w:szCs w:val="18"/>
          <w:color w:val="auto"/>
        </w:rPr>
        <w:t>If the Distribution fails to qualify as a transaction that is generally tax-free for U.S. federal income tax purposes under Section 355 of the Code, in general, for U.S. federal income tax purposes, IAC would recognize a taxable gain as if it had sold the Angi capital stock to be distributed to its stockholders in the Distribution in a taxable sale for its fair market value. In such circumstance, holders of IAC common stock who received Angi Class A common stock in the Distribution would be subject to tax as if they had received a taxable distribution equal to the fair market value of such shares. Even if the Distribution were otherwise to qualify as a tax-free transaction under Section 355(a) of the Code, the Distribution may result in taxable gain to IAC, but not its stockholders, under Section 355(e) of the Code if the Distribution were deemed to be part of a plan (or series of related transactions) pursuant to which one or more persons acquire, directly or indirectly, shares representing a 50 percent or greater interest (by vote or value) in IAC or Angi. For this purpose, any acquisitions of IAC or Angi capital stock within the period beginning two years before (and ending two years after) the Distribution are presumed to be part of such a plan, although IAC or Angi may be able to rebut that presumption (including by qualifying for one or more safe harbors under applicable Treasury Regulations).</w:t>
      </w:r>
    </w:p>
    <w:p>
      <w:pPr>
        <w:spacing w:after="0" w:line="219" w:lineRule="exact"/>
        <w:rPr>
          <w:sz w:val="20"/>
          <w:szCs w:val="20"/>
          <w:color w:val="auto"/>
        </w:rPr>
      </w:pPr>
    </w:p>
    <w:p>
      <w:pPr>
        <w:jc w:val="both"/>
        <w:ind w:firstLine="324"/>
        <w:spacing w:after="0" w:line="245" w:lineRule="auto"/>
        <w:rPr>
          <w:sz w:val="20"/>
          <w:szCs w:val="20"/>
          <w:color w:val="auto"/>
        </w:rPr>
      </w:pPr>
      <w:r>
        <w:rPr>
          <w:rFonts w:ascii="Times New Roman" w:cs="Times New Roman" w:eastAsia="Times New Roman" w:hAnsi="Times New Roman"/>
          <w:sz w:val="18"/>
          <w:szCs w:val="18"/>
          <w:color w:val="auto"/>
        </w:rPr>
        <w:t>Under the existing tax sharing agreement between IAC and Angi, Angi is generally required to indemnify IAC for any taxes resulting from the failure of the Distribution to qualify for the intended tax-free treatment (and related amounts) to the extent that any such failure to so qualify is attributable to: (i) an acquisition of all or a portion of the equity securities or assets of Angi, whether by merger or otherwise (and regardless of whether Angi participated in or otherwise facilitated the acquisition), (ii) other actions or failures to act on the part of Angi or (iii) any of the representations or undertakings made by</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4" w:name="page35"/>
    <w:bookmarkEnd w:id="34"/>
    <w:p>
      <w:pPr>
        <w:jc w:val="both"/>
        <w:spacing w:after="0" w:line="266" w:lineRule="auto"/>
        <w:rPr>
          <w:sz w:val="20"/>
          <w:szCs w:val="20"/>
          <w:color w:val="auto"/>
        </w:rPr>
      </w:pPr>
      <w:r>
        <w:rPr>
          <w:rFonts w:ascii="Times New Roman" w:cs="Times New Roman" w:eastAsia="Times New Roman" w:hAnsi="Times New Roman"/>
          <w:sz w:val="18"/>
          <w:szCs w:val="18"/>
          <w:color w:val="auto"/>
        </w:rPr>
        <w:t>Angi in any of the documents relating to the opinion of counsel discussed above being incorrect or violated. Any such indemnity obligations could be material to Angi.</w:t>
      </w:r>
    </w:p>
    <w:p>
      <w:pPr>
        <w:spacing w:after="0" w:line="185"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Angi may not be able to engage in desirable capital-raising or strategic transactions following the Distribution due to restrictions under its tax sharing agreement with IAC.</w:t>
      </w:r>
    </w:p>
    <w:p>
      <w:pPr>
        <w:spacing w:after="0" w:line="18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Under current U.S. federal income tax law, a distribution that otherwise qualifies for tax-free treatment can be rendered taxable to the distributing corporation and its stockholders as a result of certain post-distribution transactions, including certain acquisitions of shares or assets of the corporation the</w:t>
      </w:r>
    </w:p>
    <w:p>
      <w:pPr>
        <w:jc w:val="both"/>
        <w:spacing w:after="0" w:line="238" w:lineRule="auto"/>
        <w:rPr>
          <w:sz w:val="20"/>
          <w:szCs w:val="20"/>
          <w:color w:val="auto"/>
        </w:rPr>
      </w:pPr>
      <w:r>
        <w:rPr>
          <w:rFonts w:ascii="Times New Roman" w:cs="Times New Roman" w:eastAsia="Times New Roman" w:hAnsi="Times New Roman"/>
          <w:sz w:val="18"/>
          <w:szCs w:val="18"/>
          <w:color w:val="auto"/>
        </w:rPr>
        <w:t>stock of which is distributed. To preserve the tax-free treatment of the Distribution, the existing tax sharing agreement between IAC and Angi entered into in 2017 imposes certain restrictions on Angi and its subsidiaries during the two-year period following the Distribution (including restrictions on share issuances, business combinations, sales of assets and similar transactions). The tax sharing agreement also prohibits Angi from taking or failing to take any action that would prevent the Distribution from qualifying as a transaction that is generally tax-free for U.S. federal income tax purposes under Section 355 of the Code. These restrictions may limit the ability of Angi to pursue certain equity issuances, strategic transactions, repurchases or other transactions that it may otherwise believe to be in the best interests of its stockholders or that might increase the value of its business.</w:t>
      </w:r>
    </w:p>
    <w:p>
      <w:pPr>
        <w:spacing w:after="0" w:line="209" w:lineRule="exact"/>
        <w:rPr>
          <w:sz w:val="20"/>
          <w:szCs w:val="20"/>
          <w:color w:val="auto"/>
        </w:rPr>
      </w:pPr>
    </w:p>
    <w:p>
      <w:pPr>
        <w:jc w:val="both"/>
        <w:ind w:right="32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After the Distribution, actual or potential conflicts of interest may develop between the management and directors of IAC, on the one hand, and the management and directors of Angi, on the other hand, or between management and directors of either entity and the management and directors of Expedia Group, Match Group or Vimeo, Inc.</w:t>
      </w:r>
    </w:p>
    <w:p>
      <w:pPr>
        <w:spacing w:after="0" w:line="203" w:lineRule="exact"/>
        <w:rPr>
          <w:sz w:val="20"/>
          <w:szCs w:val="20"/>
          <w:color w:val="auto"/>
        </w:rPr>
      </w:pPr>
    </w:p>
    <w:p>
      <w:pPr>
        <w:jc w:val="both"/>
        <w:ind w:firstLine="324"/>
        <w:spacing w:after="0" w:line="242" w:lineRule="auto"/>
        <w:rPr>
          <w:sz w:val="20"/>
          <w:szCs w:val="20"/>
          <w:color w:val="auto"/>
        </w:rPr>
      </w:pPr>
      <w:r>
        <w:rPr>
          <w:rFonts w:ascii="Times New Roman" w:cs="Times New Roman" w:eastAsia="Times New Roman" w:hAnsi="Times New Roman"/>
          <w:sz w:val="18"/>
          <w:szCs w:val="18"/>
          <w:color w:val="auto"/>
        </w:rPr>
        <w:t>After the completion of the Distribution, the management and directors of IAC and Angi may own both IAC capital stock and Angi capital stock. This overlap could create (or appear to create) potential conflicts of interest when directors and executive officers of IAC and Angi face decisions that could have different implications for IAC and Angi. For example, potential conflicts of interest could arise in connection with the resolution of any dispute between IAC and Angi regarding the post-Distribution relationship between IAC and Angi, including any commercial agreements between the parties or their affiliates. Potential conflicts of interest could also arise if IAC and Angi enter into any commercial arrangements in the future.</w:t>
      </w:r>
    </w:p>
    <w:p>
      <w:pPr>
        <w:spacing w:after="0" w:line="194" w:lineRule="exact"/>
        <w:rPr>
          <w:sz w:val="20"/>
          <w:szCs w:val="20"/>
          <w:color w:val="auto"/>
        </w:rPr>
      </w:pPr>
    </w:p>
    <w:p>
      <w:pPr>
        <w:ind w:right="6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Distribution is subject to certain closing conditions that, if not satisfied or waived, will result in the Distribution not being completed. If the Distribution is not completed, the market price of IAC and Angi securities may decline.</w:t>
      </w:r>
    </w:p>
    <w:p>
      <w:pPr>
        <w:spacing w:after="0" w:line="185" w:lineRule="exact"/>
        <w:rPr>
          <w:sz w:val="20"/>
          <w:szCs w:val="20"/>
          <w:color w:val="auto"/>
        </w:rPr>
      </w:pPr>
    </w:p>
    <w:p>
      <w:pPr>
        <w:ind w:right="120" w:firstLine="324"/>
        <w:spacing w:after="0" w:line="245" w:lineRule="auto"/>
        <w:rPr>
          <w:sz w:val="20"/>
          <w:szCs w:val="20"/>
          <w:color w:val="auto"/>
        </w:rPr>
      </w:pPr>
      <w:r>
        <w:rPr>
          <w:rFonts w:ascii="Times New Roman" w:cs="Times New Roman" w:eastAsia="Times New Roman" w:hAnsi="Times New Roman"/>
          <w:sz w:val="18"/>
          <w:szCs w:val="18"/>
          <w:color w:val="auto"/>
        </w:rPr>
        <w:t>The IAC board of directors may abandon the Distribution at any time prior to completion. In addition, the completion of the Distribution is subject to the satisfaction (or waiver) of a number of conditions, including the final approval of the IAC board of directors. Some of the conditions to the completion of the Distribution are outside of the control of IAC and Angi. If any condition to the closing of the Distribution is not satisfied or waived, or if the IAC board of directors otherwise determines to abandon the Distribution, the Distribution will not be completed.</w:t>
      </w:r>
    </w:p>
    <w:p>
      <w:pPr>
        <w:spacing w:after="0" w:line="208" w:lineRule="exact"/>
        <w:rPr>
          <w:sz w:val="20"/>
          <w:szCs w:val="20"/>
          <w:color w:val="auto"/>
        </w:rPr>
      </w:pPr>
    </w:p>
    <w:p>
      <w:pPr>
        <w:jc w:val="both"/>
        <w:ind w:firstLine="324"/>
        <w:spacing w:after="0" w:line="245" w:lineRule="auto"/>
        <w:rPr>
          <w:sz w:val="20"/>
          <w:szCs w:val="20"/>
          <w:color w:val="auto"/>
        </w:rPr>
      </w:pPr>
      <w:r>
        <w:rPr>
          <w:rFonts w:ascii="Times New Roman" w:cs="Times New Roman" w:eastAsia="Times New Roman" w:hAnsi="Times New Roman"/>
          <w:sz w:val="18"/>
          <w:szCs w:val="18"/>
          <w:color w:val="auto"/>
        </w:rPr>
        <w:t>If IAC does not complete the Distribution, the price of IAC and Angi securities may fluctuate to the extent that the current prices of those shares reflect a market assumption that the Distribution will be completed and could decline. IAC and Angi will also be obligated to pay certain legal and accounting fees and related expenses in connection with the Distribution, whether or not it is completed. In addition, each of IAC and Angi has expended and will continue to expend, significant management resources in an effort to complete the Distribution.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IAC or Angi may fail to perform their obligations pursuant to certain agreements between them.</w:t>
      </w:r>
    </w:p>
    <w:p>
      <w:pPr>
        <w:spacing w:after="0" w:line="243" w:lineRule="exact"/>
        <w:rPr>
          <w:sz w:val="20"/>
          <w:szCs w:val="20"/>
          <w:color w:val="auto"/>
        </w:rPr>
      </w:pPr>
    </w:p>
    <w:p>
      <w:pPr>
        <w:jc w:val="both"/>
        <w:ind w:firstLine="324"/>
        <w:spacing w:after="0" w:line="238" w:lineRule="auto"/>
        <w:rPr>
          <w:sz w:val="20"/>
          <w:szCs w:val="20"/>
          <w:color w:val="auto"/>
        </w:rPr>
      </w:pPr>
      <w:r>
        <w:rPr>
          <w:rFonts w:ascii="Times New Roman" w:cs="Times New Roman" w:eastAsia="Times New Roman" w:hAnsi="Times New Roman"/>
          <w:sz w:val="18"/>
          <w:szCs w:val="18"/>
          <w:color w:val="auto"/>
        </w:rPr>
        <w:t>IAC and Angi are party to a number of agreements that either include obligations relating to the Distribution and/or will survive the completion of the Distribution. Each party will rely on the other to satisfy its obligations pursuant to these agreements. If either party is unable to satisfy its obligations</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pursuant to these agreements, including indemnification obligations, such non-compliance could have a material adverse effect on the other party’s business, financial condition and results of operations.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IAC and Angi Securities Following the Distribution</w:t>
      </w:r>
    </w:p>
    <w:p>
      <w:pPr>
        <w:spacing w:after="0" w:line="225"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aggregate value of the IAC and Angi securities that current holders of IAC capital stock will hold after the Distribution could be less than the value of the IAC securities they held before the Distribution.</w:t>
      </w:r>
    </w:p>
    <w:p>
      <w:pPr>
        <w:spacing w:after="0" w:line="185" w:lineRule="exact"/>
        <w:rPr>
          <w:sz w:val="20"/>
          <w:szCs w:val="20"/>
          <w:color w:val="auto"/>
        </w:rPr>
      </w:pPr>
    </w:p>
    <w:p>
      <w:pPr>
        <w:jc w:val="both"/>
        <w:ind w:right="20" w:firstLine="324"/>
        <w:spacing w:after="0" w:line="250" w:lineRule="auto"/>
        <w:rPr>
          <w:sz w:val="20"/>
          <w:szCs w:val="20"/>
          <w:color w:val="auto"/>
        </w:rPr>
      </w:pPr>
      <w:r>
        <w:rPr>
          <w:rFonts w:ascii="Times New Roman" w:cs="Times New Roman" w:eastAsia="Times New Roman" w:hAnsi="Times New Roman"/>
          <w:sz w:val="18"/>
          <w:szCs w:val="18"/>
          <w:color w:val="auto"/>
        </w:rPr>
        <w:t>If IAC completes the Distribution, holders of IAC capital stock as of immediately prior to the Distribution will receive shares of Angi Class A common stock capital stock. We cannot predict the prices at which shares of IAC common stock and/or Angi Class A common stock will trade at post-Distribution.</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35" w:name="page36"/>
    <w:bookmarkEnd w:id="35"/>
    <w:p>
      <w:pPr>
        <w:jc w:val="both"/>
        <w:ind w:firstLine="324"/>
        <w:spacing w:after="0" w:line="242" w:lineRule="auto"/>
        <w:rPr>
          <w:sz w:val="20"/>
          <w:szCs w:val="20"/>
          <w:color w:val="auto"/>
        </w:rPr>
      </w:pPr>
      <w:r>
        <w:rPr>
          <w:rFonts w:ascii="Times New Roman" w:cs="Times New Roman" w:eastAsia="Times New Roman" w:hAnsi="Times New Roman"/>
          <w:sz w:val="18"/>
          <w:szCs w:val="18"/>
          <w:color w:val="auto"/>
        </w:rPr>
        <w:t>Additionally, the value of IAC common stock and/or Angi Class A common stock may be negatively impacted by a number of factors after the completion of the Distribution. Some of these factors are described in these risk factors, others may or may not have be identified by IAC or Angi prior to the completion of the Distribution and many of them are not within the control of IAC or Angi. Should any adverse circumstances, facts, changes or effects come to pass, the aggregate value of the IAC and Angi securities that current holders of IAC capital stock will hold after the Distribution could be less than the value of the IAC securities they held before the Distribution.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and trading volume of IAC common stock and/or Angi Class A common stock could be volatile and face negative pressure.</w:t>
      </w:r>
    </w:p>
    <w:p>
      <w:pPr>
        <w:spacing w:after="0" w:line="243" w:lineRule="exact"/>
        <w:rPr>
          <w:sz w:val="20"/>
          <w:szCs w:val="20"/>
          <w:color w:val="auto"/>
        </w:rPr>
      </w:pPr>
    </w:p>
    <w:p>
      <w:pPr>
        <w:jc w:val="both"/>
        <w:ind w:firstLine="324"/>
        <w:spacing w:after="0" w:line="239" w:lineRule="auto"/>
        <w:rPr>
          <w:sz w:val="20"/>
          <w:szCs w:val="20"/>
          <w:color w:val="auto"/>
        </w:rPr>
      </w:pPr>
      <w:r>
        <w:rPr>
          <w:rFonts w:ascii="Times New Roman" w:cs="Times New Roman" w:eastAsia="Times New Roman" w:hAnsi="Times New Roman"/>
          <w:sz w:val="18"/>
          <w:szCs w:val="18"/>
          <w:color w:val="auto"/>
        </w:rPr>
        <w:t>IAC cannot accurately predict how investors in IAC common stock and/or Angi Class A common stock will behave after the Distribution. The market price for IAC common stock and/or Angi Class A common stock following the Distribution could be more volatile than the market price of IAC and Angi securities before the Distribution. The market price of IAC common stock and Angi Class A common stock could fluctuate significantly for many reasons, including the risks identified in this annual report or reasons unrelated to each company’s performance. Among the factors that could affect each company’s stock price are:</w:t>
      </w:r>
    </w:p>
    <w:p>
      <w:pPr>
        <w:spacing w:after="0" w:line="225"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operating results;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earnings estimates or in either company’s ability to meet those estimates;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operating and stock price performance of comparable companies;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the regulatory and legal environments under which IAC and Angi operate;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relationships with significant customers;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and worldwide economic conditions.</w:t>
      </w:r>
    </w:p>
    <w:p>
      <w:pPr>
        <w:spacing w:after="0" w:line="220" w:lineRule="exact"/>
        <w:rPr>
          <w:sz w:val="20"/>
          <w:szCs w:val="20"/>
          <w:color w:val="auto"/>
        </w:rPr>
      </w:pPr>
    </w:p>
    <w:p>
      <w:pPr>
        <w:ind w:right="360" w:firstLine="324"/>
        <w:spacing w:after="0" w:line="266" w:lineRule="auto"/>
        <w:rPr>
          <w:sz w:val="20"/>
          <w:szCs w:val="20"/>
          <w:color w:val="auto"/>
        </w:rPr>
      </w:pPr>
      <w:r>
        <w:rPr>
          <w:rFonts w:ascii="Times New Roman" w:cs="Times New Roman" w:eastAsia="Times New Roman" w:hAnsi="Times New Roman"/>
          <w:sz w:val="18"/>
          <w:szCs w:val="18"/>
          <w:color w:val="auto"/>
        </w:rPr>
        <w:t>These factors, among others, may result in short- or long-term negative pressure on the value of IAC common stock and/or Angi Class A common stock.</w:t>
      </w:r>
    </w:p>
    <w:p>
      <w:pPr>
        <w:spacing w:after="0" w:line="185"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Substantial sales of IAC common stock following the Distribution, or the perception that such sales might occur, could depress the market price of IAC common stock, which is already expected to be lower than the pre-Distribution market price of IAC common stock due to IAC no longer having any ownership interest in Angi.</w:t>
      </w:r>
    </w:p>
    <w:p>
      <w:pPr>
        <w:spacing w:after="0" w:line="203" w:lineRule="exact"/>
        <w:rPr>
          <w:sz w:val="20"/>
          <w:szCs w:val="20"/>
          <w:color w:val="auto"/>
        </w:rPr>
      </w:pPr>
    </w:p>
    <w:p>
      <w:pPr>
        <w:ind w:right="40" w:firstLine="324"/>
        <w:spacing w:after="0" w:line="238" w:lineRule="auto"/>
        <w:rPr>
          <w:sz w:val="20"/>
          <w:szCs w:val="20"/>
          <w:color w:val="auto"/>
        </w:rPr>
      </w:pPr>
      <w:r>
        <w:rPr>
          <w:rFonts w:ascii="Times New Roman" w:cs="Times New Roman" w:eastAsia="Times New Roman" w:hAnsi="Times New Roman"/>
          <w:sz w:val="18"/>
          <w:szCs w:val="18"/>
          <w:color w:val="auto"/>
        </w:rPr>
        <w:t>The post-Distribution market price of IAC common stock is expected to be lower than the pre-Distribution market price of IAC common stock, as IAC will no longer have an ownership interest in Angi. In addition, the smaller size and different investment characteristics of IAC post-Distribution may not appeal to the current investor base of IAC and/or could result in less equity analyst coverage, which could result in sales of substantial amounts of IAC common stock in the public market following the Distribution, or the perception that such sales might occur. There is no assurance that there will be sufficient buying interest to offset any such sales, and, accordingly, the price of IAC common stock may be depressed by those sales and have periods of volatility.</w:t>
      </w:r>
    </w:p>
    <w:p>
      <w:pPr>
        <w:spacing w:after="0" w:line="20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Substantial sales of Angi Class A common stock following the Distribution, or the perception that such sales might occur, could depress the market price of Angi Class A common stock.</w:t>
      </w:r>
    </w:p>
    <w:p>
      <w:pPr>
        <w:spacing w:after="0" w:line="185" w:lineRule="exact"/>
        <w:rPr>
          <w:sz w:val="20"/>
          <w:szCs w:val="20"/>
          <w:color w:val="auto"/>
        </w:rPr>
      </w:pPr>
    </w:p>
    <w:p>
      <w:pPr>
        <w:jc w:val="both"/>
        <w:ind w:firstLine="324"/>
        <w:spacing w:after="0" w:line="245" w:lineRule="auto"/>
        <w:rPr>
          <w:sz w:val="20"/>
          <w:szCs w:val="20"/>
          <w:color w:val="auto"/>
        </w:rPr>
      </w:pPr>
      <w:r>
        <w:rPr>
          <w:rFonts w:ascii="Times New Roman" w:cs="Times New Roman" w:eastAsia="Times New Roman" w:hAnsi="Times New Roman"/>
          <w:sz w:val="18"/>
          <w:szCs w:val="18"/>
          <w:color w:val="auto"/>
        </w:rPr>
        <w:t>Holders of IAC capital stock may not wish to continue to hold the shares of Angi Class A common stock that they will receive as a result of the Distribution, which may lead to the disposition of a substantial number of shares of Angi Class A common stock following the Distribution. There is no assurance that there will be sufficient buying interest to offset any such sales, and, accordingly, the price of Angi Class A common stock may be depressed by those sales, or by the perception that such sales may occur, and have periods of volatility.</w:t>
      </w:r>
    </w:p>
    <w:p>
      <w:pPr>
        <w:spacing w:after="0" w:line="20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After the Distribution, financial institutions may remove IAC common stock from investment indices and Angi Class A common stock may not qualify for those investment indices. In addition, IAC common stock and/or Angi Class A common stock may fail to meet the investment guidelines of institutional investors. In either case, these factors may negatively impact the price of IAC common stock and/or Angi Class A common stock and may impair the ability of IAC and/or Angi to raise capital through the sale of securities.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6" w:name="page37"/>
    <w:bookmarkEnd w:id="36"/>
    <w:p>
      <w:pPr>
        <w:jc w:val="both"/>
        <w:ind w:firstLine="324"/>
        <w:spacing w:after="0" w:line="237" w:lineRule="auto"/>
        <w:rPr>
          <w:sz w:val="20"/>
          <w:szCs w:val="20"/>
          <w:color w:val="auto"/>
        </w:rPr>
      </w:pPr>
      <w:r>
        <w:rPr>
          <w:rFonts w:ascii="Times New Roman" w:cs="Times New Roman" w:eastAsia="Times New Roman" w:hAnsi="Times New Roman"/>
          <w:sz w:val="18"/>
          <w:szCs w:val="18"/>
          <w:color w:val="auto"/>
        </w:rPr>
        <w:t>Some of the holders of IAC common stock are index funds tied to Nasdaq or other stock or investment indices, or are institutional investors bound by various investment guidelines. Companies are generally selected for investment indices, and in some cases selected by institutional investors, based on factors such as market capitalization, industry, trading liquidity and financial condition. The Distribution will reduce IAC’s market capitalization. As a result, one or more investment indices may remove IAC common stock from their indices and Angi Class A common stock may not qualify for those investment indices. In addition, shares of Angi Class A common stock received in the Distribution may not meet the investment guidelines of some institutional investors. Consequently, these index funds and institutional investors may have to sell some or all of the shares of Angi Class A common stock they receive in the Distribution, and the prices of IAC common stock and/or Angi Class A common stock may fall as a result. Any such decline could impair the ability of IAC or Angi to raise capital through future sales of their capital stock.</w:t>
      </w:r>
    </w:p>
    <w:p>
      <w:pPr>
        <w:spacing w:after="0" w:line="21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unfavorable research about IAC or Angi, the applicable company’s stock price and trading volume could decline.</w:t>
      </w:r>
    </w:p>
    <w:p>
      <w:pPr>
        <w:spacing w:after="0" w:line="185" w:lineRule="exact"/>
        <w:rPr>
          <w:sz w:val="20"/>
          <w:szCs w:val="20"/>
          <w:color w:val="auto"/>
        </w:rPr>
      </w:pPr>
    </w:p>
    <w:p>
      <w:pPr>
        <w:jc w:val="both"/>
        <w:ind w:right="20" w:firstLine="324"/>
        <w:spacing w:after="0" w:line="241" w:lineRule="auto"/>
        <w:rPr>
          <w:sz w:val="20"/>
          <w:szCs w:val="20"/>
          <w:color w:val="auto"/>
        </w:rPr>
      </w:pPr>
      <w:r>
        <w:rPr>
          <w:rFonts w:ascii="Times New Roman" w:cs="Times New Roman" w:eastAsia="Times New Roman" w:hAnsi="Times New Roman"/>
          <w:sz w:val="18"/>
          <w:szCs w:val="18"/>
          <w:color w:val="auto"/>
        </w:rPr>
        <w:t>The trading market for IAC common stock and Angi Class A common stock is, and will continue to be, influenced by the research and reports that industry or securities analysts publish about IAC or Angi, respectively, and their respective businesses. If one or more of these analysts ceases coverage or fails to publish reports about the applicable company regularly, IAC or Angi, as applicable, could lose visibility in the financial markets, which in turn could cause its stock price and/or trading volume to decline. Moreover, if IAC’s or Angi’s operating results do not meet the expectations of the investor community, one or more of the analysts who cover such company may change their recommendations regarding such company, and the applicable stock price could decline.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businesses operate in especially competitive and evolving industries.</w:t>
      </w:r>
    </w:p>
    <w:p>
      <w:pPr>
        <w:spacing w:after="0" w:line="216" w:lineRule="exact"/>
        <w:rPr>
          <w:sz w:val="20"/>
          <w:szCs w:val="20"/>
          <w:color w:val="auto"/>
        </w:rPr>
      </w:pPr>
    </w:p>
    <w:p>
      <w:pPr>
        <w:ind w:right="80" w:firstLine="360"/>
        <w:spacing w:after="0" w:line="236" w:lineRule="auto"/>
        <w:rPr>
          <w:sz w:val="20"/>
          <w:szCs w:val="20"/>
          <w:color w:val="auto"/>
        </w:rPr>
      </w:pPr>
      <w:r>
        <w:rPr>
          <w:rFonts w:ascii="Times New Roman" w:cs="Times New Roman" w:eastAsia="Times New Roman" w:hAnsi="Times New Roman"/>
          <w:sz w:val="18"/>
          <w:szCs w:val="18"/>
          <w:color w:val="auto"/>
        </w:rPr>
        <w:t>The industries in which our brands and businesses operate are competitive, with a consistent and growing stream of new products and entrants. Some of our competitors may enjoy better competitive positions in certain geographical areas, user demographics and/or other key areas that we currently serve or may serve in the future. Generally, our brands and businesses compete with search engine providers and online marketplaces that can market their products and services online in a more prominent and cost-effective manner than we can. We also generally compete with social media platforms with access to large existing pools of potential users and their personal information, which means these platforms can drive visitors to their products and services, as well as better tailor products and service to individual users, at little to no cost relative to those involved with our efforts. Any of these advantages could enable our competitors to offer products and services that are more appealing to consumers than our products and services, respond more quickly and/or cost effectively than we do to evolving market opportunities and trends and/or display their own integrated or related products and services in a more prominent manner than our products and services in search results, any or all of which could adversely affect our business, financial condition and results of operations.</w:t>
      </w:r>
    </w:p>
    <w:p>
      <w:pPr>
        <w:spacing w:after="0" w:line="192" w:lineRule="exact"/>
        <w:rPr>
          <w:sz w:val="20"/>
          <w:szCs w:val="20"/>
          <w:color w:val="auto"/>
        </w:rPr>
      </w:pPr>
    </w:p>
    <w:p>
      <w:pPr>
        <w:ind w:right="20" w:firstLine="360"/>
        <w:spacing w:after="0" w:line="242" w:lineRule="auto"/>
        <w:rPr>
          <w:sz w:val="20"/>
          <w:szCs w:val="20"/>
          <w:color w:val="auto"/>
        </w:rPr>
      </w:pPr>
      <w:r>
        <w:rPr>
          <w:rFonts w:ascii="Times New Roman" w:cs="Times New Roman" w:eastAsia="Times New Roman" w:hAnsi="Times New Roman"/>
          <w:sz w:val="18"/>
          <w:szCs w:val="18"/>
          <w:color w:val="auto"/>
        </w:rPr>
        <w:t>In addition, costs to switch among products and services are generally low to non-existent given that consumers generally have a propensity to try new products and services (and use multiple products and services simultaneously). As a result, we expect the continued emergence of new products and services, competitors and business models in the various industries in which our brands and businesses operate. Our inability to continue to innovate and compete effectively against new products and services, competitors and business models could result in decreases in the size and levels of engagement of our various user and subscriber bases, which could adversely affect our business, financial condition and results of operations.</w:t>
      </w:r>
    </w:p>
    <w:p>
      <w:pPr>
        <w:spacing w:after="0" w:line="167"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sensitive to general economic events and trends, particularly those that adversely impact consumer confidence and spending behavior, as well as general geopolitical risks.</w:t>
      </w:r>
    </w:p>
    <w:p>
      <w:pPr>
        <w:spacing w:after="0" w:line="158" w:lineRule="exact"/>
        <w:rPr>
          <w:sz w:val="20"/>
          <w:szCs w:val="20"/>
          <w:color w:val="auto"/>
        </w:rPr>
      </w:pPr>
    </w:p>
    <w:p>
      <w:pPr>
        <w:ind w:right="60" w:firstLine="360"/>
        <w:spacing w:after="0" w:line="253" w:lineRule="auto"/>
        <w:rPr>
          <w:sz w:val="20"/>
          <w:szCs w:val="20"/>
          <w:color w:val="auto"/>
        </w:rPr>
      </w:pPr>
      <w:r>
        <w:rPr>
          <w:rFonts w:ascii="Times New Roman" w:cs="Times New Roman" w:eastAsia="Times New Roman" w:hAnsi="Times New Roman"/>
          <w:sz w:val="17"/>
          <w:szCs w:val="17"/>
          <w:color w:val="auto"/>
        </w:rPr>
        <w:t>Events and trends that result in decreased levels of consumer confidence and discretionary spending (for example, a general economic downturn, recessionary concerns, high interest rates and increased inflation, as well as any sudden disruption in business conditions) could adversely affect our business, financial condition and results of operations. The businesses in our Angi segment are sensitive to events and trends that could result in consumers delaying or foregoing home services projects (including difficulties obtaining supplies for and financing such projects) and professionals being less likely to pay for Angi's various products and services. Similarly, our Care.com business is particularly sensitive to events and trends that could adversely impact the ability of families to pay for caregiver services. Any such events or trends could adversely impact the number and quality of professionals and caregivers affiliated with these businesses and/or could adversely impact the reach of (and breadth of services offered through) these businesses, any or all of which could adversely affect our business, financial condition and results of operations. Lastly, given the adverse financial and operational impact we experienced as a result of the coronavirus and measures designed to contain its spread, any future outbreak of a widespread health epidemic or pandemic could adversely impact our ability to conduct ordinary course business activities and employee productivity and increase operating costs.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depends, in part, on our ability to build, maintain and/or enhance our various brands.</w:t>
      </w:r>
    </w:p>
    <w:p>
      <w:pPr>
        <w:spacing w:after="0" w:line="216" w:lineRule="exact"/>
        <w:rPr>
          <w:sz w:val="20"/>
          <w:szCs w:val="20"/>
          <w:color w:val="auto"/>
        </w:rPr>
      </w:pPr>
    </w:p>
    <w:p>
      <w:pPr>
        <w:ind w:firstLine="360"/>
        <w:spacing w:after="0" w:line="237" w:lineRule="auto"/>
        <w:rPr>
          <w:sz w:val="20"/>
          <w:szCs w:val="20"/>
          <w:color w:val="auto"/>
        </w:rPr>
      </w:pPr>
      <w:r>
        <w:rPr>
          <w:rFonts w:ascii="Times New Roman" w:cs="Times New Roman" w:eastAsia="Times New Roman" w:hAnsi="Times New Roman"/>
          <w:sz w:val="18"/>
          <w:szCs w:val="18"/>
          <w:color w:val="auto"/>
        </w:rPr>
        <w:t>Through our various businesses, we own and operate a number of widely known consumer brands with strong brand appeal and recognition within their respective markets and industries, as well as emerging brands that we are in the process of building. We believe that our success depends, in large part, on our continued ability to maintain and enhance our established brands, as well as build awareness of (and loyalty to) our emerging brands. Events that could adversely impact our brands and brand-building efforts include (among others): product and service quality concerns, consumer complaints or lawsuits, lack of awareness of the policies of our various businesses and/or how they are applied in practice, our failure to respond to consumer, user, service professional and caregiver feedback, ineffective advertising, inappropriate and/or unlawful actions taken by consumers, users, professionals and caregivers, actions taken by governmental or regulatory authorities, data protection and security breaches and related bad publicity. The occurrence or any of these events could, in turn, adversely affect our business, financial condition and results of operations.</w:t>
      </w:r>
    </w:p>
    <w:p>
      <w:pPr>
        <w:spacing w:after="0" w:line="183"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systems, technology and infrastructure from cybersecurity incidents or cybersecurity incidents experienced by third parties could adversely affect us.</w:t>
      </w:r>
    </w:p>
    <w:p>
      <w:pPr>
        <w:spacing w:after="0" w:line="158" w:lineRule="exact"/>
        <w:rPr>
          <w:sz w:val="20"/>
          <w:szCs w:val="20"/>
          <w:color w:val="auto"/>
        </w:rPr>
      </w:pPr>
    </w:p>
    <w:p>
      <w:pPr>
        <w:ind w:right="20" w:firstLine="360"/>
        <w:spacing w:after="0" w:line="253" w:lineRule="auto"/>
        <w:rPr>
          <w:sz w:val="20"/>
          <w:szCs w:val="20"/>
          <w:color w:val="auto"/>
        </w:rPr>
      </w:pPr>
      <w:r>
        <w:rPr>
          <w:rFonts w:ascii="Times New Roman" w:cs="Times New Roman" w:eastAsia="Times New Roman" w:hAnsi="Times New Roman"/>
          <w:sz w:val="17"/>
          <w:szCs w:val="17"/>
          <w:color w:val="auto"/>
        </w:rPr>
        <w:t>We are regularly subjected to attacks by threat actors through the use of botnets, malware or other destructive or disruptive software, distributed denial of service attacks, phishing and attempts to misappropriate user information and account login credentials and intercept payments intended for legitimate third parties, among other similar malicious activities. The incidence of events of this nature (or any combination thereof) is on the rise worldwide. Our efforts to develop and maintain systems, processes and procedures designed to detect and prevent events of this nature from impacting our systems, technology, infrastructure, products, services, payment processes and procedures and users are costly and require ongoing monitoring and updating as technologies change and efforts to overcome preventative security measures become more sophisticated. There can be no assurance that the systems we have designed to prevent or limit the effects of cybersecurity incidents will be sufficient to prevent or detect material consequences arising from such</w:t>
      </w:r>
    </w:p>
    <w:p>
      <w:pPr>
        <w:ind w:right="220"/>
        <w:spacing w:after="0" w:line="243" w:lineRule="auto"/>
        <w:rPr>
          <w:sz w:val="20"/>
          <w:szCs w:val="20"/>
          <w:color w:val="auto"/>
        </w:rPr>
      </w:pPr>
      <w:r>
        <w:rPr>
          <w:rFonts w:ascii="Times New Roman" w:cs="Times New Roman" w:eastAsia="Times New Roman" w:hAnsi="Times New Roman"/>
          <w:sz w:val="18"/>
          <w:szCs w:val="18"/>
          <w:color w:val="auto"/>
        </w:rPr>
        <w:t>incidents, which could have a material adverse effect on our systems if such incidents do occur</w:t>
      </w:r>
      <w:r>
        <w:rPr>
          <w:rFonts w:ascii="Arial" w:cs="Arial" w:eastAsia="Arial" w:hAnsi="Arial"/>
          <w:sz w:val="21"/>
          <w:szCs w:val="21"/>
          <w:color w:val="auto"/>
        </w:rPr>
        <w:t>.</w:t>
      </w:r>
      <w:r>
        <w:rPr>
          <w:rFonts w:ascii="Times New Roman" w:cs="Times New Roman" w:eastAsia="Times New Roman" w:hAnsi="Times New Roman"/>
          <w:sz w:val="18"/>
          <w:szCs w:val="18"/>
          <w:color w:val="auto"/>
        </w:rPr>
        <w:t xml:space="preserve"> Despite these efforts, we could experience significant or material cybersecurity incidents in the future, which could adversely affect our business, financial condition and results of operations.</w:t>
      </w:r>
    </w:p>
    <w:p>
      <w:pPr>
        <w:spacing w:after="0" w:line="168" w:lineRule="exact"/>
        <w:rPr>
          <w:sz w:val="20"/>
          <w:szCs w:val="20"/>
          <w:color w:val="auto"/>
        </w:rPr>
      </w:pPr>
    </w:p>
    <w:p>
      <w:pPr>
        <w:ind w:firstLine="360"/>
        <w:spacing w:after="0" w:line="238" w:lineRule="auto"/>
        <w:rPr>
          <w:sz w:val="20"/>
          <w:szCs w:val="20"/>
          <w:color w:val="auto"/>
        </w:rPr>
      </w:pPr>
      <w:r>
        <w:rPr>
          <w:rFonts w:ascii="Times New Roman" w:cs="Times New Roman" w:eastAsia="Times New Roman" w:hAnsi="Times New Roman"/>
          <w:sz w:val="18"/>
          <w:szCs w:val="18"/>
          <w:color w:val="auto"/>
        </w:rPr>
        <w:t>Any cybersecurity incident or other similar event that we experience could damage our systems, technology and infrastructure or those of our users, prevent us from providing our products and services, compromise the integrity of our products and services, damage our reputation, erode our brands or be costly to remedy, as well as subject us to investigations by regulatory authorities, fines or litigation that could result in liability to third parties. Even if we do not experience such events directly, the impact of any such events experienced by third parties upon which we rely and with which we contract for various products and services could have a similar effect. Cybersecurity incidents or other similar events experienced by third-party service providers could adversely affect our business, financial condition and results of operations. While we maintain a cyber insurance policy to help manage, in part, costs associated with significant cybersecurity incidents that may occur, it may not be adequate to compensate for losses resulting from any such events or we may not be able to secure such coverage on commercially reasonable terms in the future. If we (or any third party with which we do business or on which we otherwise rely upon) experience(s) an event of this nature, our business, financial condition and results of operations could be adversely affected.</w:t>
      </w:r>
    </w:p>
    <w:p>
      <w:pPr>
        <w:spacing w:after="0" w:line="187"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personal, confidential or sensitive user information is breached or otherwise accessed by unauthorized persons, it may be costly to mitigate and our reputation could be harmed.</w:t>
      </w:r>
    </w:p>
    <w:p>
      <w:pPr>
        <w:spacing w:after="0" w:line="158" w:lineRule="exact"/>
        <w:rPr>
          <w:sz w:val="20"/>
          <w:szCs w:val="20"/>
          <w:color w:val="auto"/>
        </w:rPr>
      </w:pPr>
    </w:p>
    <w:p>
      <w:pPr>
        <w:ind w:right="20" w:firstLine="360"/>
        <w:spacing w:after="0" w:line="252" w:lineRule="auto"/>
        <w:rPr>
          <w:sz w:val="20"/>
          <w:szCs w:val="20"/>
          <w:color w:val="auto"/>
        </w:rPr>
      </w:pPr>
      <w:r>
        <w:rPr>
          <w:rFonts w:ascii="Times New Roman" w:cs="Times New Roman" w:eastAsia="Times New Roman" w:hAnsi="Times New Roman"/>
          <w:sz w:val="17"/>
          <w:szCs w:val="17"/>
          <w:color w:val="auto"/>
        </w:rPr>
        <w:t>We receive, process, store and transmit a significant amount of personal, confidential or sensitive user and subscriber information and, in the case of certain of our products and services, enable users and subscribers to share their personal information with each other. Our efforts to develop and maintain systems designed to protect the security, integrity and confidentiality of this information may not prevent inadvertent or unauthorized use or disclosure, and third parties may gain unauthorized access to this information. When such events occur, we may not be able to remedy them, we may be required by law to notify regulators and impacted individuals and it may be costly to mitigate the impact of such events and to develop and implement protections to prevent future events of this nature from occurring. When breaches of security (ours or that of any third party that we engage to store such information) occur, we could face governmental enforcement actions, significant fines, litigation (including consumer class actions) and the reputation of our brands and business could be harmed, any or all of which could adversely affect our business, financial condition and results of operations. While we maintain a cyber insurance policy to help manage, in part, costs associated with significant cybersecurity incidents that may occur, it may not be adequate to compensate for</w:t>
      </w:r>
    </w:p>
    <w:p>
      <w:pPr>
        <w:spacing w:after="0" w:line="2"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18"/>
          <w:szCs w:val="18"/>
          <w:color w:val="auto"/>
        </w:rPr>
        <w:t>losses resulting from any such events or we may not be able to secure such coverage on commercially reasonable terms in the future. In addition, if any of the search engines, digital app stores or social media platforms through which we market, distribute and monetize our products and services were to experience a breach, third parties could gain unauthorized access to personal data about our users and subscribers, which could indirectly harm the reputation of our brands and business and, in turn,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i w:val="1"/>
          <w:iCs w:val="1"/>
          <w:color w:val="auto"/>
        </w:rPr>
        <w:t>The processing, storage, use and disclosure of personal data could give rise to liabilities and increased costs.</w:t>
      </w:r>
    </w:p>
    <w:p>
      <w:pPr>
        <w:spacing w:after="0" w:line="216" w:lineRule="exact"/>
        <w:rPr>
          <w:sz w:val="20"/>
          <w:szCs w:val="20"/>
          <w:color w:val="auto"/>
        </w:rPr>
      </w:pPr>
    </w:p>
    <w:p>
      <w:pPr>
        <w:ind w:right="160" w:firstLine="360"/>
        <w:spacing w:after="0" w:line="237" w:lineRule="auto"/>
        <w:rPr>
          <w:sz w:val="20"/>
          <w:szCs w:val="20"/>
          <w:color w:val="auto"/>
        </w:rPr>
      </w:pPr>
      <w:r>
        <w:rPr>
          <w:rFonts w:ascii="Times New Roman" w:cs="Times New Roman" w:eastAsia="Times New Roman" w:hAnsi="Times New Roman"/>
          <w:sz w:val="18"/>
          <w:szCs w:val="18"/>
          <w:color w:val="auto"/>
        </w:rPr>
        <w:t>We receive, transmit and store a large volume of personal information and other user and subscriber data in connection with the processing of search queries, the provision of online products and services generally and the display of advertising on our various properties. The manner in which we share, store, use, disclose and protect this information is determined by the respective privacy and data security policies of our various businesses, as well as federal, state and foreign laws and regulations and evolving industry standards and practices, which are changing, and in some cases, inconsistent and conflicting and subject to differing interpretations. In addition, new laws, regulations and industry standards and practices of this nature are proposed and adopted from time to time. For a description of laws, regulations and rules concerning the processing, storage and use of disclosure of personal data, see “</w:t>
      </w:r>
      <w:r>
        <w:rPr>
          <w:rFonts w:ascii="Times New Roman" w:cs="Times New Roman" w:eastAsia="Times New Roman" w:hAnsi="Times New Roman"/>
          <w:sz w:val="18"/>
          <w:szCs w:val="18"/>
          <w:u w:val="single" w:color="auto"/>
          <w:color w:val="0000FF"/>
        </w:rPr>
        <w:t>Item 1 — Business — Description of IAC Businesses — Government Regulation</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right="80" w:firstLine="360"/>
        <w:spacing w:after="0" w:line="238" w:lineRule="auto"/>
        <w:rPr>
          <w:sz w:val="20"/>
          <w:szCs w:val="20"/>
          <w:color w:val="auto"/>
        </w:rPr>
      </w:pPr>
      <w:r>
        <w:rPr>
          <w:rFonts w:ascii="Times New Roman" w:cs="Times New Roman" w:eastAsia="Times New Roman" w:hAnsi="Times New Roman"/>
          <w:sz w:val="18"/>
          <w:szCs w:val="18"/>
          <w:color w:val="auto"/>
        </w:rPr>
        <w:t>We may be subject to claims of non-compliance with applicable privacy and data protection laws and regulations that we may not be able to successfully defend or that may result in significant fines and penalties. Moreover, any non-compliance or perceived non-compliance by us (or any third party we engage) or any compromise of security that results in unauthorized access to (or use or transmission of) personal information could result in a variety of claims against us, including governmental enforcement actions, significant fines, litigation (including consumer class actions), claims of breach of contract and indemnity by third parties and adverse publicity. When such events occur, our reputation could be harmed and the competitive positions of our various brands and businesses could be diminished, which could adversely affect our business, financial condition and results of operations. Additionally, to the extent multiple U.S. state (and/or European Union member-state) laws continue to be introduced with inconsistent or conflicting standards and there is no federal or European Union regulation to preempt such laws, compliance could be even more difficult to achieve and our potential exposure to the risks discussed above could increase.</w:t>
      </w:r>
    </w:p>
    <w:p>
      <w:pPr>
        <w:spacing w:after="0" w:line="191" w:lineRule="exact"/>
        <w:rPr>
          <w:sz w:val="20"/>
          <w:szCs w:val="20"/>
          <w:color w:val="auto"/>
        </w:rPr>
      </w:pPr>
    </w:p>
    <w:p>
      <w:pPr>
        <w:ind w:firstLine="360"/>
        <w:spacing w:after="0" w:line="239" w:lineRule="auto"/>
        <w:rPr>
          <w:sz w:val="20"/>
          <w:szCs w:val="20"/>
          <w:color w:val="auto"/>
        </w:rPr>
      </w:pPr>
      <w:r>
        <w:rPr>
          <w:rFonts w:ascii="Times New Roman" w:cs="Times New Roman" w:eastAsia="Times New Roman" w:hAnsi="Times New Roman"/>
          <w:sz w:val="18"/>
          <w:szCs w:val="18"/>
          <w:color w:val="auto"/>
        </w:rPr>
        <w:t>Lastly, ongoing compliance with existing (and compliance with future) privacy and data protection laws worldwide is (and we expect that it will continue to be) costly. The devotion of significant expenditures to compliance (versus to the development of products and services) could result in delays in the development of new products and services, us ceasing to provide problematic products and services in existing jurisdictions and us being prevented from introducing products and services in new and existing jurisdictions, any or all of which could adversely affect our business, financial condition and results of operations.</w:t>
      </w:r>
    </w:p>
    <w:p>
      <w:pPr>
        <w:spacing w:after="0" w:line="180" w:lineRule="exact"/>
        <w:rPr>
          <w:sz w:val="20"/>
          <w:szCs w:val="20"/>
          <w:color w:val="auto"/>
        </w:rPr>
      </w:pPr>
    </w:p>
    <w:p>
      <w:pPr>
        <w:ind w:right="5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in part, on the integrity, quality, efficiency and scalability of our systems, technology and infrastructure, and those of third parties.</w:t>
      </w:r>
    </w:p>
    <w:p>
      <w:pPr>
        <w:spacing w:after="0" w:line="158" w:lineRule="exact"/>
        <w:rPr>
          <w:sz w:val="20"/>
          <w:szCs w:val="20"/>
          <w:color w:val="auto"/>
        </w:rPr>
      </w:pPr>
    </w:p>
    <w:p>
      <w:pPr>
        <w:ind w:firstLine="360"/>
        <w:spacing w:after="0" w:line="251" w:lineRule="auto"/>
        <w:rPr>
          <w:sz w:val="20"/>
          <w:szCs w:val="20"/>
          <w:color w:val="auto"/>
        </w:rPr>
      </w:pPr>
      <w:r>
        <w:rPr>
          <w:rFonts w:ascii="Times New Roman" w:cs="Times New Roman" w:eastAsia="Times New Roman" w:hAnsi="Times New Roman"/>
          <w:sz w:val="17"/>
          <w:szCs w:val="17"/>
          <w:color w:val="auto"/>
        </w:rPr>
        <w:t>We rely on our systems, technology and infrastructure to perform well on a consistent basis. From time to time in the past, we have experienced (and in the future we may experience) occasional interruptions that make some or all of this framework and related information unavailable or that prevent us from providing products and services; any such interruption could arise for any number of reasons. We also rely on third-party data center service providers and cloud-based, hosted web service providers, as well as third-party computer systems and a variety of communications systems and service providers in connection with the provision of our products and services generally, as well as to facilitate and process certain payment and other transactions with users. We have no control over any of these third parties or their operations and the interruption of any of the services provided by these parties could prevent us from accessing user and subscriber information and providing our products and services. If any third parties upon which we rely cannot adequately or appropriately provide their services or perform their duties and responsibilities due to a cybersecurity incident or other interruption, we may be subject to business disruptions. Any business disruptions could adversely affect us and be costly to remediate, as well as result in user and customer dissatisfaction, reputational damage and/or legal or regulatory proceedings (among other adverse consequences), which could have an adverse effect on our business,</w:t>
      </w:r>
    </w:p>
    <w:p>
      <w:pPr>
        <w:spacing w:after="0" w:line="8"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financial condition and results of operations. While we may be entitled to damages if third parties fail to satisfy their data privacy or security-related obligations to us, any award may be insufficient to cover our damages, or we may be unable to recover such award.</w:t>
      </w:r>
    </w:p>
    <w:p>
      <w:pPr>
        <w:spacing w:after="0" w:line="162" w:lineRule="exact"/>
        <w:rPr>
          <w:sz w:val="20"/>
          <w:szCs w:val="20"/>
          <w:color w:val="auto"/>
        </w:rPr>
      </w:pPr>
    </w:p>
    <w:p>
      <w:pPr>
        <w:ind w:right="20" w:firstLine="360"/>
        <w:spacing w:after="0" w:line="258" w:lineRule="auto"/>
        <w:rPr>
          <w:sz w:val="20"/>
          <w:szCs w:val="20"/>
          <w:color w:val="auto"/>
        </w:rPr>
      </w:pPr>
      <w:r>
        <w:rPr>
          <w:rFonts w:ascii="Times New Roman" w:cs="Times New Roman" w:eastAsia="Times New Roman" w:hAnsi="Times New Roman"/>
          <w:sz w:val="17"/>
          <w:szCs w:val="17"/>
          <w:color w:val="auto"/>
        </w:rPr>
        <w:t>Our systems, technology and infrastructure could be damaged or interrupted at any time due to cybersecurity incidents, fire, power loss, telecommunications failure, natural disasters, acts of war or terrorism, acts of God and other similar events or disruptions. Any event of this nature could prevent us from providing our products and services at all (or result in the provision of our products and services on a delayed or interrupted basis) or result in the loss of critical data. Businesses that we acquire may employ cybersecurity controls or information security policies less robust than ours, which may</w:t>
      </w:r>
    </w:p>
    <w:p>
      <w:pPr>
        <w:spacing w:after="0" w:line="1"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8"/>
          <w:szCs w:val="18"/>
          <w:color w:val="auto"/>
        </w:rPr>
        <w:t>require us to expend additional resources to integrate acquired systems into our own, and which could expose us to heightened risk. The backup systems that we and the third parties upon whom we rely have in place for certain aspects of our and their respective frameworks may be insufficient for all recovery eventualities. In addition, we may not have adequate insurance coverage to compensate for losses from a major interruption. When such damages, interruptions or outages occur, our reputation could be harmed and the competitive positions of our various brands and businesses could be diminished, any or all of which could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39" w:name="page40"/>
    <w:bookmarkEnd w:id="39"/>
    <w:p>
      <w:pPr>
        <w:ind w:right="60" w:firstLine="360"/>
        <w:spacing w:after="0" w:line="242" w:lineRule="auto"/>
        <w:rPr>
          <w:sz w:val="20"/>
          <w:szCs w:val="20"/>
          <w:color w:val="auto"/>
        </w:rPr>
      </w:pPr>
      <w:r>
        <w:rPr>
          <w:rFonts w:ascii="Times New Roman" w:cs="Times New Roman" w:eastAsia="Times New Roman" w:hAnsi="Times New Roman"/>
          <w:sz w:val="18"/>
          <w:szCs w:val="18"/>
          <w:color w:val="auto"/>
        </w:rPr>
        <w:t>We also continually work to expand and enhance the efficiency and scalability of our systems, technology and infrastructure to improve the consumer and user experience, accommodate substantial increases in the number of visitors to our various platforms, ensure acceptable load times for our various products and services and keep up with changes in user and subscriber preferences. If we do not continue to do so in a timely and cost-effective manner, user and subscriber experiences and demand across our brands and businesses could be adversely affected, which would adversely affect our business, financial condition and results of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our key personnel.</w:t>
      </w:r>
    </w:p>
    <w:p>
      <w:pPr>
        <w:spacing w:after="0" w:line="216" w:lineRule="exact"/>
        <w:rPr>
          <w:sz w:val="20"/>
          <w:szCs w:val="20"/>
          <w:color w:val="auto"/>
        </w:rPr>
      </w:pPr>
    </w:p>
    <w:p>
      <w:pPr>
        <w:ind w:right="20" w:firstLine="324"/>
        <w:spacing w:after="0" w:line="237" w:lineRule="auto"/>
        <w:rPr>
          <w:sz w:val="20"/>
          <w:szCs w:val="20"/>
          <w:color w:val="auto"/>
        </w:rPr>
      </w:pPr>
      <w:r>
        <w:rPr>
          <w:rFonts w:ascii="Times New Roman" w:cs="Times New Roman" w:eastAsia="Times New Roman" w:hAnsi="Times New Roman"/>
          <w:sz w:val="18"/>
          <w:szCs w:val="18"/>
          <w:color w:val="auto"/>
        </w:rPr>
        <w:t>Our future success will depend upon our continued ability to identify, hire, develop, motivate and retain highly skilled, diverse and talented individuals worldwide, particularly in the case of senior leadership. Competition for well-qualified employees across IAC and its various businesses has been (and is expected to continue to be) intense, particularly in the case of senior leadership and technology roles, and we must continue to attract new (and retain existing) employees to compete effectively. While we have established programs to attract new (and retain existing) key and other employees, we may not be able to do so in the future. If we fail to retain key and other employees, this could result in the loss of institutional knowledge and the disruption of our day-to-day operations, which could adversely impact the effectiveness of our internal control framework and the ability of IAC and its various businesses to successfully execute long term strategic initiatives and other goals. If we do not ensure the effective transfer of knowledge to successors and smooth transitions (particularly in the case of senior leadership) by way of tailored succession plans across IAC and its various businesses, our business, financial condition and results of operations could be adversely affected.</w:t>
      </w:r>
    </w:p>
    <w:p>
      <w:pPr>
        <w:spacing w:after="0" w:line="212" w:lineRule="exact"/>
        <w:rPr>
          <w:sz w:val="20"/>
          <w:szCs w:val="20"/>
          <w:color w:val="auto"/>
        </w:rPr>
      </w:pPr>
    </w:p>
    <w:p>
      <w:pPr>
        <w:ind w:firstLine="324"/>
        <w:spacing w:after="0" w:line="242" w:lineRule="auto"/>
        <w:rPr>
          <w:sz w:val="20"/>
          <w:szCs w:val="20"/>
          <w:color w:val="auto"/>
        </w:rPr>
      </w:pPr>
      <w:r>
        <w:rPr>
          <w:rFonts w:ascii="Times New Roman" w:cs="Times New Roman" w:eastAsia="Times New Roman" w:hAnsi="Times New Roman"/>
          <w:sz w:val="18"/>
          <w:szCs w:val="18"/>
          <w:color w:val="auto"/>
        </w:rPr>
        <w:t>For example, on January 13, 2025, we announced that Joseph Levin will cease to serve as our Chief Executive Officer and as a member of the IAC board of directors, effective upon the first to occur of the completion of the Distribution and May 31, 2025. Following Mr. Levin’s transition, we do not intend to appoint a new Chief Executive Officer. This leadership change increases our dependency on the remaining members of our management team and the failure to successfully manage this transition or retain such executives could adversely impact our business, financial condition and results of operations.</w:t>
      </w:r>
    </w:p>
    <w:p>
      <w:pPr>
        <w:spacing w:after="0" w:line="22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8"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02" w:lineRule="exact"/>
        <w:rPr>
          <w:sz w:val="20"/>
          <w:szCs w:val="20"/>
          <w:color w:val="auto"/>
        </w:rPr>
      </w:pPr>
    </w:p>
    <w:p>
      <w:pPr>
        <w:ind w:right="40" w:firstLine="324"/>
        <w:spacing w:after="0" w:line="241" w:lineRule="auto"/>
        <w:rPr>
          <w:sz w:val="20"/>
          <w:szCs w:val="20"/>
          <w:color w:val="auto"/>
        </w:rPr>
      </w:pPr>
      <w:r>
        <w:rPr>
          <w:rFonts w:ascii="Times New Roman" w:cs="Times New Roman" w:eastAsia="Times New Roman" w:hAnsi="Times New Roman"/>
          <w:sz w:val="18"/>
          <w:szCs w:val="18"/>
          <w:color w:val="auto"/>
        </w:rPr>
        <w:t>We recognize that the safety and security of our systems, technology and infrastructure (and those of key third-party service providers upon which we rely), as well as our content and confidential or sensitive user and employee information, is critical to maintaining the trust and confidence of our users and subscribers, consumers, advertisers and investors (among other stakeholders). As a result, Company management has established programs and related processes designed to manage cybersecurity issues, including the assessment, identification and management of cybersecurity risks, together with related mitigation and recovery efforts. Our board of directors, directly and through our audit committee, oversees Company management in the execution of its cybersecurity responsibilities, including the assessment of the Company’s approach to cybersecurity risk management.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 Management and Strategy</w:t>
      </w:r>
    </w:p>
    <w:p>
      <w:pPr>
        <w:spacing w:after="0" w:line="214" w:lineRule="exact"/>
        <w:rPr>
          <w:sz w:val="20"/>
          <w:szCs w:val="20"/>
          <w:color w:val="auto"/>
        </w:rPr>
      </w:pPr>
    </w:p>
    <w:p>
      <w:pPr>
        <w:ind w:right="380" w:firstLine="324"/>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Overview. </w:t>
      </w:r>
      <w:r>
        <w:rPr>
          <w:rFonts w:ascii="Times New Roman" w:cs="Times New Roman" w:eastAsia="Times New Roman" w:hAnsi="Times New Roman"/>
          <w:sz w:val="18"/>
          <w:szCs w:val="18"/>
          <w:color w:val="auto"/>
        </w:rPr>
        <w:t>Our cybersecurity programs and related processes generally consist of the following key elements: (i) risk assessment and management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efforts, (ii) technical safeguards and incident response and recovery efforts, (iii) third-party risk management efforts, (iv) education, training and preparedness efforts and (v) governance efforts.</w:t>
      </w:r>
    </w:p>
    <w:p>
      <w:pPr>
        <w:spacing w:after="0" w:line="174" w:lineRule="exact"/>
        <w:rPr>
          <w:sz w:val="20"/>
          <w:szCs w:val="20"/>
          <w:color w:val="auto"/>
        </w:rPr>
      </w:pPr>
    </w:p>
    <w:p>
      <w:pPr>
        <w:jc w:val="both"/>
        <w:ind w:right="40" w:firstLine="324"/>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Risk assessment and management efforts. </w:t>
      </w:r>
      <w:r>
        <w:rPr>
          <w:rFonts w:ascii="Times New Roman" w:cs="Times New Roman" w:eastAsia="Times New Roman" w:hAnsi="Times New Roman"/>
          <w:sz w:val="18"/>
          <w:szCs w:val="18"/>
          <w:color w:val="auto"/>
        </w:rPr>
        <w:t>We assess, identify and manage cybersecurity risks as part of a comprehensive information security program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is intended to be aligned with standard industry frameworks, such as International Standard for Organization (ISO) 27000 and the National Institute of Standards and Technology (NIST) Cyber Security Framework.</w:t>
      </w:r>
    </w:p>
    <w:p>
      <w:pPr>
        <w:spacing w:after="0" w:line="163"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18"/>
          <w:szCs w:val="18"/>
          <w:color w:val="auto"/>
        </w:rPr>
        <w:t>As part of the ongoing refinement of our information security program, we engage (as appropriate) various third-party risk management services to assist with the identification of potential cybersecurity issues, such as those involving software vulnerabilities, configuration errors, data exposure and credential theft (among others), as well as consult with external legal counsel, third-party experts and other advisors to assist with incident response and recovery efforts, forensic investigations, extortion negotiations and crisis management or readiness for the same. We also maintain a cyber insurance policy to help manage, in part, costs associated with significant cybersecurity incidents that may occur.</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0" w:name="page41"/>
    <w:bookmarkEnd w:id="40"/>
    <w:p>
      <w:pPr>
        <w:ind w:right="860"/>
        <w:spacing w:after="0" w:line="266" w:lineRule="auto"/>
        <w:rPr>
          <w:sz w:val="20"/>
          <w:szCs w:val="20"/>
          <w:color w:val="auto"/>
        </w:rPr>
      </w:pPr>
      <w:r>
        <w:rPr>
          <w:rFonts w:ascii="Times New Roman" w:cs="Times New Roman" w:eastAsia="Times New Roman" w:hAnsi="Times New Roman"/>
          <w:sz w:val="18"/>
          <w:szCs w:val="18"/>
          <w:color w:val="auto"/>
        </w:rPr>
        <w:t>In addition, as discussed in more detail below under the caption “Cybersecurity Governance,” the assessment, identification and management of cybersecurity risks have been integrated into our overall enterprise risk management (“ERM”) efforts.</w:t>
      </w:r>
    </w:p>
    <w:p>
      <w:pPr>
        <w:spacing w:after="0" w:line="160" w:lineRule="exact"/>
        <w:rPr>
          <w:sz w:val="20"/>
          <w:szCs w:val="20"/>
          <w:color w:val="auto"/>
        </w:rPr>
      </w:pPr>
    </w:p>
    <w:p>
      <w:pPr>
        <w:ind w:right="40" w:firstLine="324"/>
        <w:spacing w:after="0" w:line="238" w:lineRule="auto"/>
        <w:rPr>
          <w:sz w:val="20"/>
          <w:szCs w:val="20"/>
          <w:color w:val="auto"/>
        </w:rPr>
      </w:pPr>
      <w:r>
        <w:rPr>
          <w:rFonts w:ascii="Times New Roman" w:cs="Times New Roman" w:eastAsia="Times New Roman" w:hAnsi="Times New Roman"/>
          <w:sz w:val="18"/>
          <w:szCs w:val="18"/>
          <w:i w:val="1"/>
          <w:iCs w:val="1"/>
          <w:color w:val="auto"/>
        </w:rPr>
        <w:t xml:space="preserve">Technical safeguards and incident response and recovery efforts. </w:t>
      </w:r>
      <w:r>
        <w:rPr>
          <w:rFonts w:ascii="Times New Roman" w:cs="Times New Roman" w:eastAsia="Times New Roman" w:hAnsi="Times New Roman"/>
          <w:sz w:val="18"/>
          <w:szCs w:val="18"/>
          <w:color w:val="auto"/>
        </w:rPr>
        <w:t>As part of our information security program, we have implemented a number of tools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procedures designed to identify and remediate vulnerabilities and misconfigurations in our applications and infrastructure, as well as manage access and identities throughout their lifecycles. These tools and procedures are intended to be consistent with ISO and NIST frameworks, In addition, we have implemented an incident response policy that outlines established processes for addressing cybersecurity issues that leverages a cross-functional cybersecurity incident response team and outside advisors intended to allow the Company to take action in a timely and decisive manner in compliance with applicable laws, rules and regulations during the response, investigation and remediation of a given cybersecurity incident.</w:t>
      </w:r>
    </w:p>
    <w:p>
      <w:pPr>
        <w:spacing w:after="0" w:line="186" w:lineRule="exact"/>
        <w:rPr>
          <w:sz w:val="20"/>
          <w:szCs w:val="20"/>
          <w:color w:val="auto"/>
        </w:rPr>
      </w:pPr>
    </w:p>
    <w:p>
      <w:pPr>
        <w:ind w:right="20" w:firstLine="324"/>
        <w:spacing w:after="0" w:line="239" w:lineRule="auto"/>
        <w:rPr>
          <w:sz w:val="20"/>
          <w:szCs w:val="20"/>
          <w:color w:val="auto"/>
        </w:rPr>
      </w:pPr>
      <w:r>
        <w:rPr>
          <w:rFonts w:ascii="Times New Roman" w:cs="Times New Roman" w:eastAsia="Times New Roman" w:hAnsi="Times New Roman"/>
          <w:sz w:val="18"/>
          <w:szCs w:val="18"/>
          <w:i w:val="1"/>
          <w:iCs w:val="1"/>
          <w:color w:val="auto"/>
        </w:rPr>
        <w:t>Third-party risk management efforts</w:t>
      </w:r>
      <w:r>
        <w:rPr>
          <w:rFonts w:ascii="Times New Roman" w:cs="Times New Roman" w:eastAsia="Times New Roman" w:hAnsi="Times New Roman"/>
          <w:sz w:val="18"/>
          <w:szCs w:val="18"/>
          <w:color w:val="auto"/>
        </w:rPr>
        <w:t>. In addition to the assessment, identification and management of our own cybersecurity related risks, we also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 and evaluate cybersecurity risks associated with certain third-party service providers upon which we rely for a wide variety of technical and business functions. Our efforts in this regard consist of (among other efforts): (i) security assessments to determine whether key third-party service provider information security procedures meet our expectations, (ii) the use of a monitoring service that detects evidence of the compromise of key third-party provider systems, technology and infrastructure, (iii) assessments designed to identify business and technical risks to our systems, technology and infrastructure posed by key third-party service providers and (iv) the development of strategies to determine the potential adverse impact of, and develop mitigation strategies for, any cybersecurity incidents experienced by key third-party service providers on our business, financial condition and results of operations.</w:t>
      </w:r>
    </w:p>
    <w:p>
      <w:pPr>
        <w:spacing w:after="0" w:line="187" w:lineRule="exact"/>
        <w:rPr>
          <w:sz w:val="20"/>
          <w:szCs w:val="20"/>
          <w:color w:val="auto"/>
        </w:rPr>
      </w:pPr>
    </w:p>
    <w:p>
      <w:pPr>
        <w:ind w:right="60" w:firstLine="324"/>
        <w:spacing w:after="0" w:line="237" w:lineRule="auto"/>
        <w:rPr>
          <w:sz w:val="20"/>
          <w:szCs w:val="20"/>
          <w:color w:val="auto"/>
        </w:rPr>
      </w:pPr>
      <w:r>
        <w:rPr>
          <w:rFonts w:ascii="Times New Roman" w:cs="Times New Roman" w:eastAsia="Times New Roman" w:hAnsi="Times New Roman"/>
          <w:sz w:val="18"/>
          <w:szCs w:val="18"/>
          <w:i w:val="1"/>
          <w:iCs w:val="1"/>
          <w:color w:val="auto"/>
        </w:rPr>
        <w:t xml:space="preserve">Education, training and preparedness efforts. </w:t>
      </w:r>
      <w:r>
        <w:rPr>
          <w:rFonts w:ascii="Times New Roman" w:cs="Times New Roman" w:eastAsia="Times New Roman" w:hAnsi="Times New Roman"/>
          <w:sz w:val="18"/>
          <w:szCs w:val="18"/>
          <w:color w:val="auto"/>
        </w:rPr>
        <w:t>Education, training and preparedness are an important part of our information security program.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connection with our education and training efforts, we have developed and implemented a set of Company-wide policies and procedures regarding cybersecurity matters that impose responsibility on our employees through the course of their work to: (i) protect our systems, technology, infrastructure and data from cybersecurity threats, (ii) quickly report known or suspected cybersecurity incidents or other suspicious activity through designated channels and respond effectively to such events and (iii) use Company and personal information technology in a secure manner. In addition, we generally mandate information security training for our employees and our software developers generally receive additional technical training, each on an annual basis. In connection with our preparedness efforts, we periodically conduct tabletop exercises with the goal of helping management effectively respond to cybersecurity incidents that may occur. We also maintain documented incident response policies to help ensure that our response activities are consistent and appropriate.</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Governance. </w:t>
      </w:r>
      <w:r>
        <w:rPr>
          <w:rFonts w:ascii="Times New Roman" w:cs="Times New Roman" w:eastAsia="Times New Roman" w:hAnsi="Times New Roman"/>
          <w:sz w:val="18"/>
          <w:szCs w:val="18"/>
          <w:color w:val="auto"/>
        </w:rPr>
        <w:t>See the disclosure under the caption “Cybersecurity Governance” below.</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Governance</w:t>
      </w:r>
    </w:p>
    <w:p>
      <w:pPr>
        <w:spacing w:after="0" w:line="216" w:lineRule="exact"/>
        <w:rPr>
          <w:sz w:val="20"/>
          <w:szCs w:val="20"/>
          <w:color w:val="auto"/>
        </w:rPr>
      </w:pPr>
    </w:p>
    <w:p>
      <w:pPr>
        <w:ind w:right="80" w:firstLine="360"/>
        <w:spacing w:after="0" w:line="245" w:lineRule="auto"/>
        <w:rPr>
          <w:sz w:val="20"/>
          <w:szCs w:val="20"/>
          <w:color w:val="auto"/>
        </w:rPr>
      </w:pPr>
      <w:r>
        <w:rPr>
          <w:rFonts w:ascii="Times New Roman" w:cs="Times New Roman" w:eastAsia="Times New Roman" w:hAnsi="Times New Roman"/>
          <w:sz w:val="18"/>
          <w:szCs w:val="18"/>
          <w:color w:val="auto"/>
        </w:rPr>
        <w:t>Our board of directors is responsible for overseeing Company management’s execution of its cybersecurity responsibilities, including our approach to cybersecurity risk management. Our board of directors executes this oversight in coordination with our audit committee, which pursuant to its charter, assists the board of directors with risk assessment and risk management policies as they relate to cybersecurity risk exposure (among other risk exposures), as well as part of its regularly scheduled meetings and through discussions with Company management on an as needed basis.</w:t>
      </w:r>
    </w:p>
    <w:p>
      <w:pPr>
        <w:spacing w:after="0" w:line="181" w:lineRule="exact"/>
        <w:rPr>
          <w:sz w:val="20"/>
          <w:szCs w:val="20"/>
          <w:color w:val="auto"/>
        </w:rPr>
      </w:pPr>
    </w:p>
    <w:p>
      <w:pPr>
        <w:ind w:right="60" w:firstLine="360"/>
        <w:spacing w:after="0"/>
        <w:rPr>
          <w:sz w:val="20"/>
          <w:szCs w:val="20"/>
          <w:color w:val="auto"/>
        </w:rPr>
      </w:pPr>
      <w:r>
        <w:rPr>
          <w:rFonts w:ascii="Times New Roman" w:cs="Times New Roman" w:eastAsia="Times New Roman" w:hAnsi="Times New Roman"/>
          <w:sz w:val="18"/>
          <w:szCs w:val="18"/>
          <w:color w:val="auto"/>
        </w:rPr>
        <w:t>In addition, the assessment, identification and management of cybersecurity risks has been integrated into our ERM efforts. As part of that annual process, cybersecurity risks across our businesses are included in the risk universe that our Executive Risk Committee (consisting of members of Company senior management) evaluates to identify our top enterprise risks and develop related mitigation plans. The cybersecurity and other risks are reviewed during the year through our ERM process and discussed with our audit committee at least semi-annually and with our board of directors at least annually.</w:t>
      </w:r>
    </w:p>
    <w:p>
      <w:pPr>
        <w:spacing w:after="0" w:line="1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Our Chief Information Security Officer (“CISO”) is responsible for the development and implementation of our information security program on a</w:t>
      </w:r>
    </w:p>
    <w:p>
      <w:pPr>
        <w:spacing w:after="0" w:line="16"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8"/>
          <w:szCs w:val="18"/>
          <w:color w:val="auto"/>
        </w:rPr>
        <w:t>Company-wide basis, together with a dedicated team of experienced, Company-wide information security analysts. Our CISO has over twenty-five years of experience leading the development, implementation and oversight of information security programs and members of the information security team have relevant certifications, educational and industry experience.</w:t>
      </w:r>
    </w:p>
    <w:p>
      <w:pPr>
        <w:spacing w:after="0" w:line="200" w:lineRule="exact"/>
        <w:rPr>
          <w:sz w:val="20"/>
          <w:szCs w:val="20"/>
          <w:color w:val="auto"/>
        </w:rPr>
      </w:pPr>
    </w:p>
    <w:p>
      <w:pPr>
        <w:ind w:right="60" w:firstLine="324"/>
        <w:spacing w:after="0" w:line="233" w:lineRule="auto"/>
        <w:rPr>
          <w:sz w:val="20"/>
          <w:szCs w:val="20"/>
          <w:color w:val="auto"/>
        </w:rPr>
      </w:pPr>
      <w:r>
        <w:rPr>
          <w:rFonts w:ascii="Times New Roman" w:cs="Times New Roman" w:eastAsia="Times New Roman" w:hAnsi="Times New Roman"/>
          <w:sz w:val="18"/>
          <w:szCs w:val="18"/>
          <w:color w:val="auto"/>
        </w:rPr>
        <w:t>Our CISO is also responsible for reporting on the status of our information security program and related efforts and processes to Company senior management periodically, and to the audit committee on a quarterly basis. In addition, our CISO reports cybersecurity matters to Company senior management and the audit committee on an as-needed basis. At each regularly scheduled meeting of our board of directors, the Chair of our audit committee provides quarterly updates regarding significant matters discussed, reviewed, considered and approved by the committee since the last regularly scheduled board meeting (including cybersecurity matters, as and if applicable), as well as timely updates outside of quarterly updates on an as needed basis. Lastly, our CISO promptly informs Company management and our audit committee of cybersecurity incidents that meet</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1" w:name="page42"/>
    <w:bookmarkEnd w:id="41"/>
    <w:p>
      <w:pPr>
        <w:ind w:right="240"/>
        <w:spacing w:after="0" w:line="250" w:lineRule="auto"/>
        <w:rPr>
          <w:sz w:val="20"/>
          <w:szCs w:val="20"/>
          <w:color w:val="auto"/>
        </w:rPr>
      </w:pPr>
      <w:r>
        <w:rPr>
          <w:rFonts w:ascii="Times New Roman" w:cs="Times New Roman" w:eastAsia="Times New Roman" w:hAnsi="Times New Roman"/>
          <w:sz w:val="18"/>
          <w:szCs w:val="18"/>
          <w:color w:val="auto"/>
        </w:rPr>
        <w:t>established reporting thresholds or when otherwise determined appropriate, as well as provides ongoing updates regarding such incidents until they have been resolved.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Risks</w:t>
      </w:r>
    </w:p>
    <w:p>
      <w:pPr>
        <w:spacing w:after="0" w:line="202" w:lineRule="exact"/>
        <w:rPr>
          <w:sz w:val="20"/>
          <w:szCs w:val="20"/>
          <w:color w:val="auto"/>
        </w:rPr>
      </w:pPr>
    </w:p>
    <w:p>
      <w:pPr>
        <w:ind w:right="20" w:firstLine="324"/>
        <w:spacing w:after="0" w:line="239" w:lineRule="auto"/>
        <w:rPr>
          <w:sz w:val="20"/>
          <w:szCs w:val="20"/>
          <w:color w:val="auto"/>
        </w:rPr>
      </w:pPr>
      <w:r>
        <w:rPr>
          <w:rFonts w:ascii="Times New Roman" w:cs="Times New Roman" w:eastAsia="Times New Roman" w:hAnsi="Times New Roman"/>
          <w:sz w:val="18"/>
          <w:szCs w:val="18"/>
          <w:color w:val="auto"/>
        </w:rPr>
        <w:t>As discussed above and under “</w:t>
      </w:r>
      <w:r>
        <w:rPr>
          <w:rFonts w:ascii="Times New Roman" w:cs="Times New Roman" w:eastAsia="Times New Roman" w:hAnsi="Times New Roman"/>
          <w:sz w:val="18"/>
          <w:szCs w:val="18"/>
          <w:u w:val="single" w:color="auto"/>
          <w:color w:val="0000FF"/>
        </w:rPr>
        <w:t>Item 1A —Risk Factors—Risk Factors—General Risk Factors</w:t>
      </w:r>
      <w:r>
        <w:rPr>
          <w:rFonts w:ascii="Times New Roman" w:cs="Times New Roman" w:eastAsia="Times New Roman" w:hAnsi="Times New Roman"/>
          <w:sz w:val="18"/>
          <w:szCs w:val="18"/>
          <w:color w:val="auto"/>
        </w:rPr>
        <w:t>,” we face a number of cybersecurity risks across our various businesses, and from time to time we have experienced threats to and unauthorized intrusions of our systems, technology and infrastructure. Despite our efforts, we cannot eliminate all risks from cybersecurity threats or incidents, or provide assurances that we have not experienced an undetected cybersecurity incident. While we have implemented a risk management process designed to mitigate cybersecurity risks that arise from utilizing third-party service providers, suppliers, and vendors, our control over and ability to monitor the security posture of third parties with whom we do business remains limited and there can be no assurance that we can prevent, mitigate, or remediate the risk of any compromise or failure in the security infrastructure owned or controlled by such third parties. Additionally, any contractual protections with such third parties, including our right to indemnification, if any at all, may be limited or insufficient to prevent a negative impact on our business from such compromise or failure.</w:t>
      </w:r>
    </w:p>
    <w:p>
      <w:pPr>
        <w:spacing w:after="0" w:line="18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tab/>
        <w:t>Properties</w:t>
      </w:r>
    </w:p>
    <w:p>
      <w:pPr>
        <w:spacing w:after="0" w:line="216" w:lineRule="exact"/>
        <w:rPr>
          <w:sz w:val="20"/>
          <w:szCs w:val="20"/>
          <w:color w:val="auto"/>
        </w:rPr>
      </w:pPr>
    </w:p>
    <w:p>
      <w:pPr>
        <w:ind w:right="300" w:firstLine="324"/>
        <w:spacing w:after="0" w:line="250" w:lineRule="auto"/>
        <w:rPr>
          <w:sz w:val="20"/>
          <w:szCs w:val="20"/>
          <w:color w:val="auto"/>
        </w:rPr>
      </w:pPr>
      <w:r>
        <w:rPr>
          <w:rFonts w:ascii="Times New Roman" w:cs="Times New Roman" w:eastAsia="Times New Roman" w:hAnsi="Times New Roman"/>
          <w:sz w:val="18"/>
          <w:szCs w:val="18"/>
          <w:color w:val="auto"/>
        </w:rPr>
        <w:t>IAC believes that the facilities for its management and operations are generally adequate for its current and near-term future needs. IAC’s facilities, most of which are leased by IAC’s businesses in various cities and locations in the United States and various jurisdictions abroad, generally consist of executive and administrative offices, operations centers, data centers and sales offices.</w:t>
      </w:r>
    </w:p>
    <w:p>
      <w:pPr>
        <w:spacing w:after="0" w:line="177" w:lineRule="exact"/>
        <w:rPr>
          <w:sz w:val="20"/>
          <w:szCs w:val="20"/>
          <w:color w:val="auto"/>
        </w:rPr>
      </w:pPr>
    </w:p>
    <w:p>
      <w:pPr>
        <w:ind w:firstLine="324"/>
        <w:spacing w:after="0" w:line="238" w:lineRule="auto"/>
        <w:rPr>
          <w:sz w:val="20"/>
          <w:szCs w:val="20"/>
          <w:color w:val="auto"/>
        </w:rPr>
      </w:pPr>
      <w:r>
        <w:rPr>
          <w:rFonts w:ascii="Times New Roman" w:cs="Times New Roman" w:eastAsia="Times New Roman" w:hAnsi="Times New Roman"/>
          <w:sz w:val="18"/>
          <w:szCs w:val="18"/>
          <w:color w:val="auto"/>
        </w:rPr>
        <w:t>IAC believes that its principal properties, whether owned or leased, are currently adequate for the purposes for which they are used and are suitably maintained for these purposes. IAC does not anticipate any future problems renewing or obtaining suitable leases on commercially reasonable terms for any of its principal businesses. IAC’s nearly 200,000 square foot corporate headquarters in New York, New York houses offices for IAC corporate and various IAC businesses within Angi and Emerging &amp; Other. In addition, through our Dotdash Meredith financial reporting segment, we own a building in Des Moines, Iowa with approximately 208,000 in square footage that primarily houses offices and production facilities for certain Dotdash Meredith employees.</w:t>
      </w:r>
    </w:p>
    <w:p>
      <w:pPr>
        <w:spacing w:after="0" w:line="18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16"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8"/>
          <w:szCs w:val="18"/>
          <w:color w:val="auto"/>
        </w:rPr>
        <w:t>In the ordinary course of business, IAC and its subsidiaries are (or may become) parties to litigation involving property, personal injury, contract, intellectual property and other claims, as well as shareholder derivative actions, class action lawsuits and other matters. The amounts that may be recovered in such matters may be subject to insurance coverage. The litigation matter described below involves issues or claims that may be of particular interest to IAC's stockholders, regardless of whether such matter may be material to IAC's financial position or operations based upon the standard set forth in the rules of the SEC.</w:t>
      </w:r>
    </w:p>
    <w:p>
      <w:pPr>
        <w:spacing w:after="0" w:line="18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Shareholder Litigation Arising Out of the MTCH Separation</w:t>
      </w:r>
    </w:p>
    <w:p>
      <w:pPr>
        <w:spacing w:after="0" w:line="20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On June 24, 2020, a shareholder class action and derivative lawsuit was filed in Delaware state court against then</w:t>
      </w:r>
    </w:p>
    <w:p>
      <w:pPr>
        <w:spacing w:after="0" w:line="16"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18"/>
          <w:szCs w:val="18"/>
          <w:color w:val="auto"/>
        </w:rPr>
        <w:t xml:space="preserve">IAC/InterActiveCorp (now Match Group, Inc.), then IAC Holdings, Inc. (subsequently renamed IAC/InterActiveCorp and now known as IAC Inc.), IAC's Chairman and Senior Executive, Barry Diller, former Match Group (as a nominal defendant only), and the ten members of former Match Group's board of directors at the time of the separation of the Match Group business from then IAC/InterActiveCorp (the “MTCH Separation”), challenging, on behalf of a putative class of then Match Group public shareholders, the agreed-upon terms of the MTCH Separation. </w:t>
      </w:r>
      <w:r>
        <w:rPr>
          <w:rFonts w:ascii="Times New Roman" w:cs="Times New Roman" w:eastAsia="Times New Roman" w:hAnsi="Times New Roman"/>
          <w:sz w:val="18"/>
          <w:szCs w:val="18"/>
          <w:i w:val="1"/>
          <w:iCs w:val="1"/>
          <w:color w:val="auto"/>
        </w:rPr>
        <w:t>See David Newman v. IAC/InterActiveCorp et al.</w:t>
      </w:r>
      <w:r>
        <w:rPr>
          <w:rFonts w:ascii="Times New Roman" w:cs="Times New Roman" w:eastAsia="Times New Roman" w:hAnsi="Times New Roman"/>
          <w:sz w:val="18"/>
          <w:szCs w:val="18"/>
          <w:color w:val="auto"/>
        </w:rPr>
        <w:t>, No. 2020-0505 (Delaware Chancery Court). The gravamen of the complaint was that the terms of the MTCH Separation were unfair to former Match Group public shareholders and unduly beneficial to IAC as a result of undue influence by IAC and Mr. Diller over the then Match Group directors who unanimously approved the transaction. The complaint asserted direct and derivative claims for: (i) breach of fiduciary duty against IAC and Mr. Diller as alleged former controlling shareholders of Match Group, (ii) breach of fiduciary duty against the Match Group directors who unanimously approved the MTCH Separation, (iii) breach of contract (i.e., a provision of former Match Group's charter), (iv) breach of the implied covenant of good faith and fair dealing, and (v) tortious interference with contract against IAC. The complaint sought various declarations and damages in an unspecified amount.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2" w:name="page43"/>
    <w:bookmarkEnd w:id="42"/>
    <w:p>
      <w:pPr>
        <w:ind w:right="80" w:firstLine="405"/>
        <w:spacing w:after="0"/>
        <w:rPr>
          <w:sz w:val="20"/>
          <w:szCs w:val="20"/>
          <w:color w:val="auto"/>
        </w:rPr>
      </w:pPr>
      <w:r>
        <w:rPr>
          <w:rFonts w:ascii="Times New Roman" w:cs="Times New Roman" w:eastAsia="Times New Roman" w:hAnsi="Times New Roman"/>
          <w:sz w:val="18"/>
          <w:szCs w:val="18"/>
          <w:color w:val="auto"/>
        </w:rPr>
        <w:t xml:space="preserve">On September 24, 2020, the defendants filed motions to dismiss the complaint. On January 8, 2021, instead of responding to the motions to dismiss, the plaintiff, joined by another plaintiff, Boilermakers National Annuity Trust, filed an amended complaint. In addition, on January 7, 2021, another complaint challenging the MTCH Separation was filed against substantially the same defendants in the same court. </w:t>
      </w:r>
      <w:r>
        <w:rPr>
          <w:rFonts w:ascii="Times New Roman" w:cs="Times New Roman" w:eastAsia="Times New Roman" w:hAnsi="Times New Roman"/>
          <w:sz w:val="18"/>
          <w:szCs w:val="18"/>
          <w:i w:val="1"/>
          <w:iCs w:val="1"/>
          <w:color w:val="auto"/>
        </w:rPr>
        <w:t>See Construction Industry &amp; Laborers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Joint Pension Trust for Southern Nevada Plan A v. IAC/InterActiveCorp et al. </w:t>
      </w:r>
      <w:r>
        <w:rPr>
          <w:rFonts w:ascii="Times New Roman" w:cs="Times New Roman" w:eastAsia="Times New Roman" w:hAnsi="Times New Roman"/>
          <w:sz w:val="18"/>
          <w:szCs w:val="18"/>
          <w:color w:val="auto"/>
        </w:rPr>
        <w:t>(Delaware Chancery Court). The two cases were consolidated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caption </w:t>
      </w:r>
      <w:r>
        <w:rPr>
          <w:rFonts w:ascii="Times New Roman" w:cs="Times New Roman" w:eastAsia="Times New Roman" w:hAnsi="Times New Roman"/>
          <w:sz w:val="18"/>
          <w:szCs w:val="18"/>
          <w:i w:val="1"/>
          <w:iCs w:val="1"/>
          <w:color w:val="auto"/>
        </w:rPr>
        <w:t>In re Match Group, Inc. Derivative Litigation</w:t>
      </w:r>
      <w:r>
        <w:rPr>
          <w:rFonts w:ascii="Times New Roman" w:cs="Times New Roman" w:eastAsia="Times New Roman" w:hAnsi="Times New Roman"/>
          <w:sz w:val="18"/>
          <w:szCs w:val="18"/>
          <w:color w:val="auto"/>
        </w:rPr>
        <w:t>, No. 2020-0505. On March 15, 2021, the court issued an order appointing Construction Industry and Laborers Joint Pension Trust for Southern Nevada Plan A (“Southern Nevada”) as lead plaintiff in the litigation and directing it to file a consolidated complaint by April 14, 2021, and on that date Southern Nevada filed the consolidated complaint.</w:t>
      </w:r>
    </w:p>
    <w:p>
      <w:pPr>
        <w:spacing w:after="0" w:line="171" w:lineRule="exact"/>
        <w:rPr>
          <w:sz w:val="20"/>
          <w:szCs w:val="20"/>
          <w:color w:val="auto"/>
        </w:rPr>
      </w:pPr>
    </w:p>
    <w:p>
      <w:pPr>
        <w:ind w:right="180" w:firstLine="405"/>
        <w:spacing w:after="0" w:line="245" w:lineRule="auto"/>
        <w:rPr>
          <w:sz w:val="20"/>
          <w:szCs w:val="20"/>
          <w:color w:val="auto"/>
        </w:rPr>
      </w:pPr>
      <w:r>
        <w:rPr>
          <w:rFonts w:ascii="Times New Roman" w:cs="Times New Roman" w:eastAsia="Times New Roman" w:hAnsi="Times New Roman"/>
          <w:sz w:val="18"/>
          <w:szCs w:val="18"/>
          <w:color w:val="auto"/>
        </w:rPr>
        <w:t>On June 22, 2021, the defendants filed motions to dismiss the consolidated complaint. On September 3, 2021, instead of responding to the motions, the plaintiffs filed motions to add City of Hallandale Beach Police Officers’ and Firefighters’ Personnel Retirement Trust (“Hallandale”) as a co-lead plaintiff and to amend and supplement the consolidated complaint, which latter motion the defendants opposed. On October 27, 2021, the court issued an order granting the motions. On November 2, 2021, the plaintiffs filed an amended and supplemented consolidated complaint.</w:t>
      </w:r>
    </w:p>
    <w:p>
      <w:pPr>
        <w:spacing w:after="0" w:line="181" w:lineRule="exact"/>
        <w:rPr>
          <w:sz w:val="20"/>
          <w:szCs w:val="20"/>
          <w:color w:val="auto"/>
        </w:rPr>
      </w:pPr>
    </w:p>
    <w:p>
      <w:pPr>
        <w:ind w:firstLine="405"/>
        <w:spacing w:after="0" w:line="239" w:lineRule="auto"/>
        <w:rPr>
          <w:sz w:val="20"/>
          <w:szCs w:val="20"/>
          <w:color w:val="auto"/>
        </w:rPr>
      </w:pPr>
      <w:r>
        <w:rPr>
          <w:rFonts w:ascii="Times New Roman" w:cs="Times New Roman" w:eastAsia="Times New Roman" w:hAnsi="Times New Roman"/>
          <w:sz w:val="18"/>
          <w:szCs w:val="18"/>
          <w:color w:val="auto"/>
        </w:rPr>
        <w:t xml:space="preserve">On December 10, 2021, the defendants filed motions to dismiss the amended and supplemented consolidated complaint, which the plaintiffs opposed. On September 1, 2022, the court, applying the business-judgment standard of review, issued an opinion and order granting the defendants' motions to dismiss the complaint with prejudice. On October 3, 2022, the plaintiffs filed a notice of appeal to the Delaware Supreme Court from the Chancery Court's order of dismissal. On May 3, 2023, the Delaware Supreme Court heard oral argument on the plaintiffs’ appeal. On May 30, 2023, the court issued an order directing the parties to submit supplemental briefing on the correct legal standard governing judicial review of the MTCH Separation, namely whether review under the more deferential business-judgment rule is triggered when such a transaction has been approved by </w:t>
      </w:r>
      <w:r>
        <w:rPr>
          <w:rFonts w:ascii="Times New Roman" w:cs="Times New Roman" w:eastAsia="Times New Roman" w:hAnsi="Times New Roman"/>
          <w:sz w:val="18"/>
          <w:szCs w:val="18"/>
          <w:i w:val="1"/>
          <w:iCs w:val="1"/>
          <w:color w:val="auto"/>
        </w:rPr>
        <w:t>either</w:t>
      </w:r>
      <w:r>
        <w:rPr>
          <w:rFonts w:ascii="Times New Roman" w:cs="Times New Roman" w:eastAsia="Times New Roman" w:hAnsi="Times New Roman"/>
          <w:sz w:val="18"/>
          <w:szCs w:val="18"/>
          <w:color w:val="auto"/>
        </w:rPr>
        <w:t xml:space="preserve"> a committee of independent directors </w:t>
      </w:r>
      <w:r>
        <w:rPr>
          <w:rFonts w:ascii="Times New Roman" w:cs="Times New Roman" w:eastAsia="Times New Roman" w:hAnsi="Times New Roman"/>
          <w:sz w:val="18"/>
          <w:szCs w:val="18"/>
          <w:i w:val="1"/>
          <w:iCs w:val="1"/>
          <w:color w:val="auto"/>
        </w:rPr>
        <w:t>or</w:t>
      </w:r>
      <w:r>
        <w:rPr>
          <w:rFonts w:ascii="Times New Roman" w:cs="Times New Roman" w:eastAsia="Times New Roman" w:hAnsi="Times New Roman"/>
          <w:sz w:val="18"/>
          <w:szCs w:val="18"/>
          <w:color w:val="auto"/>
        </w:rPr>
        <w:t xml:space="preserve"> a majority vote of the minority stockholders. Supplemental briefing was completed on September 29, 2023. On December 13, 2023, the court heard further oral argument from the parties.</w:t>
      </w:r>
    </w:p>
    <w:p>
      <w:pPr>
        <w:spacing w:after="0" w:line="187" w:lineRule="exact"/>
        <w:rPr>
          <w:sz w:val="20"/>
          <w:szCs w:val="20"/>
          <w:color w:val="auto"/>
        </w:rPr>
      </w:pPr>
    </w:p>
    <w:p>
      <w:pPr>
        <w:ind w:right="580" w:firstLine="405"/>
        <w:spacing w:after="0" w:line="272" w:lineRule="auto"/>
        <w:rPr>
          <w:sz w:val="20"/>
          <w:szCs w:val="20"/>
          <w:color w:val="auto"/>
        </w:rPr>
      </w:pPr>
      <w:r>
        <w:rPr>
          <w:rFonts w:ascii="Times New Roman" w:cs="Times New Roman" w:eastAsia="Times New Roman" w:hAnsi="Times New Roman"/>
          <w:sz w:val="18"/>
          <w:szCs w:val="18"/>
          <w:color w:val="auto"/>
        </w:rPr>
        <w:t xml:space="preserve">On April 4, 2024, the Delaware Supreme Court issued its decision, holding: (i) that in order to be subject to review under the more deferential business-judgment rule, rather than “entire fairness” review, the MTCH Separation transaction must have been approved by </w:t>
      </w:r>
      <w:r>
        <w:rPr>
          <w:rFonts w:ascii="Times New Roman" w:cs="Times New Roman" w:eastAsia="Times New Roman" w:hAnsi="Times New Roman"/>
          <w:sz w:val="18"/>
          <w:szCs w:val="18"/>
          <w:i w:val="1"/>
          <w:iCs w:val="1"/>
          <w:color w:val="auto"/>
        </w:rPr>
        <w:t>both</w:t>
      </w:r>
      <w:r>
        <w:rPr>
          <w:rFonts w:ascii="Times New Roman" w:cs="Times New Roman" w:eastAsia="Times New Roman" w:hAnsi="Times New Roman"/>
          <w:sz w:val="18"/>
          <w:szCs w:val="18"/>
          <w:color w:val="auto"/>
        </w:rPr>
        <w:t xml:space="preserve"> a committee of</w:t>
      </w:r>
    </w:p>
    <w:p>
      <w:pPr>
        <w:spacing w:after="0" w:line="1"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8"/>
          <w:szCs w:val="18"/>
          <w:color w:val="auto"/>
        </w:rPr>
        <w:t xml:space="preserve">independent directors </w:t>
      </w:r>
      <w:r>
        <w:rPr>
          <w:rFonts w:ascii="Times New Roman" w:cs="Times New Roman" w:eastAsia="Times New Roman" w:hAnsi="Times New Roman"/>
          <w:sz w:val="18"/>
          <w:szCs w:val="18"/>
          <w:i w:val="1"/>
          <w:iCs w:val="1"/>
          <w:color w:val="auto"/>
        </w:rPr>
        <w:t>and</w:t>
      </w:r>
      <w:r>
        <w:rPr>
          <w:rFonts w:ascii="Times New Roman" w:cs="Times New Roman" w:eastAsia="Times New Roman" w:hAnsi="Times New Roman"/>
          <w:sz w:val="18"/>
          <w:szCs w:val="18"/>
          <w:color w:val="auto"/>
        </w:rPr>
        <w:t xml:space="preserve"> a majority vote of the Match Group minority shareholders, (ii) that the Chancery Court correctly ruled that the plaintiffs had pleaded sufficient facts to call into question the independence of one of the three members of the special committee that had negotiated and approved the transaction, (iii) that the Chancery Court had incorrectly ruled that the plaintiffs had nevertheless failed to call into question the independence of the special committee as a whole, because all members of the committee must be independent in order for the committee as a whole to be independent, and (iv) that the Chancery Court had correctly dismissed the plaintiffs’ derivative claims for lack of standing, thereby leaving only their direct claims for adjudication and Hallandale as the sole lead plaintiff. The Delaware Supreme Court remanded the case to the Chancery Court for further proceedings under the “entire fairness” standard of review, and the case is now in discovery.</w:t>
      </w:r>
    </w:p>
    <w:p>
      <w:pPr>
        <w:spacing w:after="0" w:line="187" w:lineRule="exact"/>
        <w:rPr>
          <w:sz w:val="20"/>
          <w:szCs w:val="20"/>
          <w:color w:val="auto"/>
        </w:rPr>
      </w:pPr>
    </w:p>
    <w:p>
      <w:pPr>
        <w:ind w:right="180" w:firstLine="405"/>
        <w:spacing w:after="0" w:line="266" w:lineRule="auto"/>
        <w:rPr>
          <w:sz w:val="20"/>
          <w:szCs w:val="20"/>
          <w:color w:val="auto"/>
        </w:rPr>
      </w:pPr>
      <w:r>
        <w:rPr>
          <w:rFonts w:ascii="Times New Roman" w:cs="Times New Roman" w:eastAsia="Times New Roman" w:hAnsi="Times New Roman"/>
          <w:sz w:val="18"/>
          <w:szCs w:val="18"/>
          <w:color w:val="auto"/>
        </w:rPr>
        <w:t>On October 2, 2024, the Chancery Court issued a decision and order dismissing the plaintiff’s claim against Mr. Diller on the principal grounds that he was not a controlling stockholder of Match Group.</w:t>
      </w:r>
    </w:p>
    <w:p>
      <w:pPr>
        <w:spacing w:after="0" w:line="162" w:lineRule="exact"/>
        <w:rPr>
          <w:sz w:val="20"/>
          <w:szCs w:val="20"/>
          <w:color w:val="auto"/>
        </w:rPr>
      </w:pPr>
    </w:p>
    <w:p>
      <w:pPr>
        <w:ind w:right="260" w:firstLine="405"/>
        <w:spacing w:after="0" w:line="266" w:lineRule="auto"/>
        <w:rPr>
          <w:sz w:val="20"/>
          <w:szCs w:val="20"/>
          <w:color w:val="auto"/>
        </w:rPr>
      </w:pPr>
      <w:r>
        <w:rPr>
          <w:rFonts w:ascii="Times New Roman" w:cs="Times New Roman" w:eastAsia="Times New Roman" w:hAnsi="Times New Roman"/>
          <w:sz w:val="18"/>
          <w:szCs w:val="18"/>
          <w:color w:val="auto"/>
        </w:rPr>
        <w:t>Trial is scheduled for February 9, 2026. IAC believes that the allegations in this litigation are without merit and will continue to defend vigorously against them.</w:t>
      </w:r>
    </w:p>
    <w:p>
      <w:pPr>
        <w:spacing w:after="0" w:line="15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3" w:name="page44"/>
    <w:bookmarkEnd w:id="4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47" w:lineRule="exact"/>
        <w:rPr>
          <w:sz w:val="20"/>
          <w:szCs w:val="20"/>
          <w:color w:val="auto"/>
        </w:rPr>
      </w:pPr>
    </w:p>
    <w:p>
      <w:pPr>
        <w:ind w:right="2640"/>
        <w:spacing w:after="0" w:line="271"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for Registrant’s Common Equity and Related Stockholder Matters</w:t>
      </w:r>
    </w:p>
    <w:p>
      <w:pPr>
        <w:spacing w:after="0" w:line="216" w:lineRule="exact"/>
        <w:rPr>
          <w:sz w:val="20"/>
          <w:szCs w:val="20"/>
          <w:color w:val="auto"/>
        </w:rPr>
      </w:pPr>
    </w:p>
    <w:p>
      <w:pPr>
        <w:ind w:right="480" w:firstLine="405"/>
        <w:spacing w:after="0" w:line="266" w:lineRule="auto"/>
        <w:rPr>
          <w:sz w:val="20"/>
          <w:szCs w:val="20"/>
          <w:color w:val="auto"/>
        </w:rPr>
      </w:pPr>
      <w:r>
        <w:rPr>
          <w:rFonts w:ascii="Times New Roman" w:cs="Times New Roman" w:eastAsia="Times New Roman" w:hAnsi="Times New Roman"/>
          <w:sz w:val="18"/>
          <w:szCs w:val="18"/>
          <w:color w:val="auto"/>
        </w:rPr>
        <w:t>IAC common stock is quoted on the Nasdaq Global Select Market (“NASDAQ”) under the ticker symbol “IAC.” There is no established public trading market for IAC Class B common stock.</w:t>
      </w:r>
    </w:p>
    <w:p>
      <w:pPr>
        <w:spacing w:after="0" w:line="162" w:lineRule="exact"/>
        <w:rPr>
          <w:sz w:val="20"/>
          <w:szCs w:val="20"/>
          <w:color w:val="auto"/>
        </w:rPr>
      </w:pPr>
    </w:p>
    <w:p>
      <w:pPr>
        <w:ind w:firstLine="405"/>
        <w:spacing w:after="0" w:line="242" w:lineRule="auto"/>
        <w:rPr>
          <w:sz w:val="20"/>
          <w:szCs w:val="20"/>
          <w:color w:val="auto"/>
        </w:rPr>
      </w:pPr>
      <w:r>
        <w:rPr>
          <w:rFonts w:ascii="Times New Roman" w:cs="Times New Roman" w:eastAsia="Times New Roman" w:hAnsi="Times New Roman"/>
          <w:sz w:val="18"/>
          <w:szCs w:val="18"/>
          <w:color w:val="auto"/>
        </w:rPr>
        <w:t>As of February 7, 2025, there were 737 holders of record of IAC common stock and four holders of record of IAC Class B common stock. Because the substantial majority of the outstanding shares of IAC common stock are held by brokers and other institutions on behalf of shareholders, IAC is not able to estimate the total number of beneficial holders represented by these record holders.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16" w:lineRule="exact"/>
        <w:rPr>
          <w:sz w:val="20"/>
          <w:szCs w:val="20"/>
          <w:color w:val="auto"/>
        </w:rPr>
      </w:pPr>
    </w:p>
    <w:p>
      <w:pPr>
        <w:jc w:val="both"/>
        <w:ind w:right="440" w:firstLine="405"/>
        <w:spacing w:after="0" w:line="296" w:lineRule="auto"/>
        <w:rPr>
          <w:sz w:val="20"/>
          <w:szCs w:val="20"/>
          <w:color w:val="auto"/>
        </w:rPr>
      </w:pPr>
      <w:r>
        <w:rPr>
          <w:rFonts w:ascii="Times New Roman" w:cs="Times New Roman" w:eastAsia="Times New Roman" w:hAnsi="Times New Roman"/>
          <w:sz w:val="17"/>
          <w:szCs w:val="17"/>
          <w:color w:val="auto"/>
        </w:rPr>
        <w:t>Other than the Distribution, we do not currently expect that any cash or other dividends will be paid to holders of IAC common stock or Class B common stock in the near future. Any future cash dividend or other dividend declarations are subject to the determination of IAC’s board of directors.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216"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During the quarter ended December 31, 2024, the Company did not issue or sell any shares of IAC common stock or other equity securities pursuant to unregistered transactions.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16" w:lineRule="exact"/>
        <w:rPr>
          <w:sz w:val="20"/>
          <w:szCs w:val="20"/>
          <w:color w:val="auto"/>
        </w:rPr>
      </w:pPr>
    </w:p>
    <w:p>
      <w:pPr>
        <w:ind w:right="40" w:firstLine="405"/>
        <w:spacing w:after="0" w:line="242" w:lineRule="auto"/>
        <w:rPr>
          <w:sz w:val="20"/>
          <w:szCs w:val="20"/>
          <w:color w:val="auto"/>
        </w:rPr>
      </w:pPr>
      <w:r>
        <w:rPr>
          <w:rFonts w:ascii="Times New Roman" w:cs="Times New Roman" w:eastAsia="Times New Roman" w:hAnsi="Times New Roman"/>
          <w:sz w:val="18"/>
          <w:szCs w:val="18"/>
          <w:color w:val="auto"/>
        </w:rPr>
        <w:t>We did not purchase any shares of IAC common stock during the quarter ended December 31, 2024. As of that date, 3,686,692 shares of IAC common stock remained available for repurchase under our previously announced June 2020 repurchase authorization. We may repurchase shares of IAC common stock pursuant to this repurchase authorization over an indefinite period of time in the open market and in privately negotiated transactions, depending on those factors IAC management deems relevant at any particular time, including (without limitation) market conditions, share price and future outlook.</w:t>
      </w:r>
    </w:p>
    <w:p>
      <w:pPr>
        <w:spacing w:after="0" w:line="16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tab/>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44" w:name="page45"/>
    <w:bookmarkEnd w:id="44"/>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7.</w:t>
        <w:tab/>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Proposed Angi Inc. Spin-off</w:t>
      </w:r>
    </w:p>
    <w:p>
      <w:pPr>
        <w:spacing w:after="0" w:line="216" w:lineRule="exact"/>
        <w:rPr>
          <w:sz w:val="20"/>
          <w:szCs w:val="20"/>
          <w:color w:val="auto"/>
        </w:rPr>
      </w:pPr>
    </w:p>
    <w:p>
      <w:pPr>
        <w:ind w:firstLine="405"/>
        <w:spacing w:after="0" w:line="247" w:lineRule="auto"/>
        <w:rPr>
          <w:sz w:val="20"/>
          <w:szCs w:val="20"/>
          <w:color w:val="auto"/>
        </w:rPr>
      </w:pPr>
      <w:r>
        <w:rPr>
          <w:rFonts w:ascii="Times New Roman" w:cs="Times New Roman" w:eastAsia="Times New Roman" w:hAnsi="Times New Roman"/>
          <w:sz w:val="18"/>
          <w:szCs w:val="18"/>
          <w:color w:val="auto"/>
        </w:rPr>
        <w:t>On January 13, 2025, IAC announced that its Board of Directors approved a plan to spin off its full stake in Angi Inc. (“Angi”) to IAC shareholders. The Company intends to effect the spin-off through a dividend to the holders of its common stock and Class B common stock of all of the common stock of Angi owned by the Company (the “Distribution”). Prior to the effective time of the Distribution, the Company intends to voluntarily convert all of the shares of Class B common stock of Angi that it owns to shares of Class A common stock of Angi. The completion of the Distribution remains subject to customary conditions and to the final approval of the Company's Board of Directors and may not be completed, on the anticipated terms or at all. The Company expects to complete the Distribution as soon as March 31,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Defined Terms and Operating Metrics:</w:t>
      </w:r>
    </w:p>
    <w:p>
      <w:pPr>
        <w:spacing w:after="0" w:line="229"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Unless otherwise indicated or as the context otherwise requires, certain terms used in this annual report, which include the principal operating metrics we use in managing our business, are defined below:</w:t>
      </w:r>
    </w:p>
    <w:p>
      <w:pPr>
        <w:spacing w:after="0" w:line="185" w:lineRule="exact"/>
        <w:rPr>
          <w:sz w:val="20"/>
          <w:szCs w:val="20"/>
          <w:color w:val="auto"/>
        </w:rPr>
      </w:pPr>
    </w:p>
    <w:p>
      <w:pPr>
        <w:ind w:right="220" w:firstLine="405"/>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IAC Businesses </w:t>
      </w:r>
      <w:r>
        <w:rPr>
          <w:rFonts w:ascii="Times New Roman" w:cs="Times New Roman" w:eastAsia="Times New Roman" w:hAnsi="Times New Roman"/>
          <w:sz w:val="18"/>
          <w:szCs w:val="18"/>
          <w:color w:val="auto"/>
        </w:rPr>
        <w:t>(for additional information see “</w:t>
      </w:r>
      <w:r>
        <w:rPr>
          <w:rFonts w:ascii="Times New Roman" w:cs="Times New Roman" w:eastAsia="Times New Roman" w:hAnsi="Times New Roman"/>
          <w:sz w:val="18"/>
          <w:szCs w:val="18"/>
          <w:u w:val="single" w:color="auto"/>
          <w:color w:val="0000FF"/>
        </w:rPr>
        <w:t>Note 9—Segment Information</w:t>
      </w:r>
      <w:r>
        <w:rPr>
          <w:rFonts w:ascii="Times New Roman" w:cs="Times New Roman" w:eastAsia="Times New Roman" w:hAnsi="Times New Roman"/>
          <w:sz w:val="18"/>
          <w:szCs w:val="18"/>
          <w:color w:val="auto"/>
        </w:rPr>
        <w:t>” to the accompanying notes to the financial statements included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FF"/>
        </w:rPr>
        <w:t>Item 8—Financial Statements and Supplementary Data</w:t>
      </w:r>
      <w:r>
        <w:rPr>
          <w:rFonts w:ascii="Times New Roman" w:cs="Times New Roman" w:eastAsia="Times New Roman" w:hAnsi="Times New Roman"/>
          <w:sz w:val="18"/>
          <w:szCs w:val="18"/>
          <w:color w:val="auto"/>
        </w:rPr>
        <w:t>”):</w:t>
      </w:r>
    </w:p>
    <w:p>
      <w:pPr>
        <w:spacing w:after="0" w:line="167" w:lineRule="exact"/>
        <w:rPr>
          <w:sz w:val="20"/>
          <w:szCs w:val="20"/>
          <w:color w:val="auto"/>
        </w:rPr>
      </w:pPr>
    </w:p>
    <w:p>
      <w:pPr>
        <w:ind w:left="660" w:right="20" w:hanging="247"/>
        <w:spacing w:after="0" w:line="243"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Dotdash Meredith </w:t>
      </w:r>
      <w:r>
        <w:rPr>
          <w:rFonts w:ascii="Times New Roman" w:cs="Times New Roman" w:eastAsia="Times New Roman" w:hAnsi="Times New Roman"/>
          <w:sz w:val="18"/>
          <w:szCs w:val="18"/>
          <w:color w:val="auto"/>
        </w:rPr>
        <w:t>- one of the largest digital and print publishers in America. Nearly 200 million people trust Dotdash Meredith each month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help them make decisions, take action, and find inspiration. Dotdash Meredith's over 40 iconic brands include People, Better Homes &amp; Gardens, Verywell, FOOD &amp; WINE, The Spruce, allrecipes, BYRDIE, REAL SIMPLE, Investopedia, and Southern Living. Dotdash Meredith has two operating segments: (i) Digital, which includes its digital, mobile and licensing operations; and (ii) Print, which includes its magazine subscription and newsstand operations;</w:t>
      </w:r>
    </w:p>
    <w:p>
      <w:pPr>
        <w:spacing w:after="0" w:line="207" w:lineRule="exact"/>
        <w:rPr>
          <w:rFonts w:ascii="Times New Roman" w:cs="Times New Roman" w:eastAsia="Times New Roman" w:hAnsi="Times New Roman"/>
          <w:sz w:val="18"/>
          <w:szCs w:val="18"/>
          <w:color w:val="auto"/>
        </w:rPr>
      </w:pPr>
    </w:p>
    <w:p>
      <w:pPr>
        <w:ind w:left="660" w:right="80" w:hanging="247"/>
        <w:spacing w:after="0" w:line="238"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Angi </w:t>
      </w:r>
      <w:r>
        <w:rPr>
          <w:rFonts w:ascii="Times New Roman" w:cs="Times New Roman" w:eastAsia="Times New Roman" w:hAnsi="Times New Roman"/>
          <w:sz w:val="18"/>
          <w:szCs w:val="18"/>
          <w:color w:val="auto"/>
        </w:rPr>
        <w:t>- a publicly traded company that connects quality home professionals with consumers across more than 500 different categories,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repairing and remodeling homes to cleaning and landscaping. On November 1, 2023, Angi completed the sale of 100% of its wholly-owned subsidiary, Total Home Roofing, LLC (“Roofing”), and has reflected it as a discontinued operation in its standalone financial statements. Roofing did not meet the threshold to be reflected as a discontinued operation at the IAC level. During the fourth quarter of 2023, IAC moved Roofing to Emerging &amp; Other. Following the sale of Roofing, Angi has three operating segments: (i) Ads and Leads, (ii) Services and (iii) International (includes Europe and Canada). At December 31, 2024, the Company’s economic interest and voting interest in Angi were 85.3% and 98.3%, respectively;</w:t>
      </w:r>
    </w:p>
    <w:p>
      <w:pPr>
        <w:spacing w:after="0" w:line="210" w:lineRule="exact"/>
        <w:rPr>
          <w:rFonts w:ascii="Times New Roman" w:cs="Times New Roman" w:eastAsia="Times New Roman" w:hAnsi="Times New Roman"/>
          <w:sz w:val="18"/>
          <w:szCs w:val="18"/>
          <w:color w:val="auto"/>
        </w:rPr>
      </w:pPr>
    </w:p>
    <w:p>
      <w:pPr>
        <w:ind w:left="660" w:right="80" w:hanging="247"/>
        <w:spacing w:after="0" w:line="301" w:lineRule="auto"/>
        <w:tabs>
          <w:tab w:leader="none" w:pos="655"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Care.com</w:t>
      </w:r>
      <w:r>
        <w:rPr>
          <w:rFonts w:ascii="Times New Roman" w:cs="Times New Roman" w:eastAsia="Times New Roman" w:hAnsi="Times New Roman"/>
          <w:sz w:val="17"/>
          <w:szCs w:val="17"/>
          <w:color w:val="auto"/>
        </w:rPr>
        <w:t>, a leading online destination for families to connect with caregivers for their children, aging parents, pets and homes and for caregivers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to connect with families seeking care services. Care.com's brands include </w:t>
      </w:r>
      <w:r>
        <w:rPr>
          <w:rFonts w:ascii="Times New Roman" w:cs="Times New Roman" w:eastAsia="Times New Roman" w:hAnsi="Times New Roman"/>
          <w:sz w:val="17"/>
          <w:szCs w:val="17"/>
          <w:i w:val="1"/>
          <w:iCs w:val="1"/>
          <w:color w:val="auto"/>
        </w:rPr>
        <w:t>Care For Business</w:t>
      </w:r>
      <w:r>
        <w:rPr>
          <w:rFonts w:ascii="Times New Roman" w:cs="Times New Roman" w:eastAsia="Times New Roman" w:hAnsi="Times New Roman"/>
          <w:sz w:val="17"/>
          <w:szCs w:val="17"/>
          <w:color w:val="auto"/>
        </w:rPr>
        <w:t xml:space="preserve">, Care.com's offerings to enterprises, and </w:t>
      </w:r>
      <w:r>
        <w:rPr>
          <w:rFonts w:ascii="Times New Roman" w:cs="Times New Roman" w:eastAsia="Times New Roman" w:hAnsi="Times New Roman"/>
          <w:sz w:val="17"/>
          <w:szCs w:val="17"/>
          <w:i w:val="1"/>
          <w:iCs w:val="1"/>
          <w:color w:val="auto"/>
        </w:rPr>
        <w:t>HomePay</w:t>
      </w:r>
      <w:r>
        <w:rPr>
          <w:rFonts w:ascii="Times New Roman" w:cs="Times New Roman" w:eastAsia="Times New Roman" w:hAnsi="Times New Roman"/>
          <w:sz w:val="17"/>
          <w:szCs w:val="17"/>
          <w:color w:val="auto"/>
        </w:rPr>
        <w:t>;</w:t>
      </w:r>
    </w:p>
    <w:p>
      <w:pPr>
        <w:spacing w:after="0" w:line="157" w:lineRule="exact"/>
        <w:rPr>
          <w:rFonts w:ascii="Times New Roman" w:cs="Times New Roman" w:eastAsia="Times New Roman" w:hAnsi="Times New Roman"/>
          <w:sz w:val="17"/>
          <w:szCs w:val="17"/>
          <w:color w:val="auto"/>
        </w:rPr>
      </w:pPr>
    </w:p>
    <w:p>
      <w:pPr>
        <w:ind w:left="660" w:right="60" w:hanging="247"/>
        <w:spacing w:after="0" w:line="25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Search </w:t>
      </w:r>
      <w:r>
        <w:rPr>
          <w:rFonts w:ascii="Times New Roman" w:cs="Times New Roman" w:eastAsia="Times New Roman" w:hAnsi="Times New Roman"/>
          <w:sz w:val="18"/>
          <w:szCs w:val="18"/>
          <w:color w:val="auto"/>
        </w:rPr>
        <w:t>- consists of</w:t>
      </w:r>
      <w:r>
        <w:rPr>
          <w:rFonts w:ascii="Times New Roman" w:cs="Times New Roman" w:eastAsia="Times New Roman" w:hAnsi="Times New Roman"/>
          <w:sz w:val="18"/>
          <w:szCs w:val="18"/>
          <w:b w:val="1"/>
          <w:bCs w:val="1"/>
          <w:color w:val="auto"/>
        </w:rPr>
        <w:t xml:space="preserve"> Ask Media Group</w:t>
      </w:r>
      <w:r>
        <w:rPr>
          <w:rFonts w:ascii="Times New Roman" w:cs="Times New Roman" w:eastAsia="Times New Roman" w:hAnsi="Times New Roman"/>
          <w:sz w:val="18"/>
          <w:szCs w:val="18"/>
          <w:color w:val="auto"/>
        </w:rPr>
        <w:t>, a collection of websites providing general search services and information, and</w:t>
      </w:r>
      <w:r>
        <w:rPr>
          <w:rFonts w:ascii="Times New Roman" w:cs="Times New Roman" w:eastAsia="Times New Roman" w:hAnsi="Times New Roman"/>
          <w:sz w:val="18"/>
          <w:szCs w:val="18"/>
          <w:b w:val="1"/>
          <w:bCs w:val="1"/>
          <w:color w:val="auto"/>
        </w:rPr>
        <w:t xml:space="preserve"> Desktop, </w:t>
      </w:r>
      <w:r>
        <w:rPr>
          <w:rFonts w:ascii="Times New Roman" w:cs="Times New Roman" w:eastAsia="Times New Roman" w:hAnsi="Times New Roman"/>
          <w:sz w:val="18"/>
          <w:szCs w:val="18"/>
          <w:color w:val="auto"/>
        </w:rPr>
        <w:t>which includes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business-to-business partnership operations and the remaining installed base of our legacy direct-to-consumer downloadable desktop applications; and</w:t>
      </w:r>
    </w:p>
    <w:p>
      <w:pPr>
        <w:spacing w:after="0" w:line="198"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Emerging &amp; Other </w:t>
      </w:r>
      <w:r>
        <w:rPr>
          <w:rFonts w:ascii="Times New Roman" w:cs="Times New Roman" w:eastAsia="Times New Roman" w:hAnsi="Times New Roman"/>
          <w:sz w:val="18"/>
          <w:szCs w:val="18"/>
          <w:color w:val="auto"/>
        </w:rPr>
        <w:t>- consists of:</w:t>
      </w:r>
    </w:p>
    <w:p>
      <w:pPr>
        <w:spacing w:after="0" w:line="117" w:lineRule="exact"/>
        <w:rPr>
          <w:rFonts w:ascii="Times New Roman" w:cs="Times New Roman" w:eastAsia="Times New Roman" w:hAnsi="Times New Roman"/>
          <w:sz w:val="18"/>
          <w:szCs w:val="18"/>
          <w:color w:val="auto"/>
        </w:rPr>
      </w:pPr>
    </w:p>
    <w:p>
      <w:pPr>
        <w:ind w:left="980" w:hanging="243"/>
        <w:spacing w:after="0"/>
        <w:tabs>
          <w:tab w:leader="none" w:pos="9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Vivian Health</w:t>
      </w:r>
      <w:r>
        <w:rPr>
          <w:rFonts w:ascii="Times New Roman" w:cs="Times New Roman" w:eastAsia="Times New Roman" w:hAnsi="Times New Roman"/>
          <w:sz w:val="18"/>
          <w:szCs w:val="18"/>
          <w:color w:val="auto"/>
        </w:rPr>
        <w:t>, a platform to efficiently connect healthcare professionals with job opportunities;</w:t>
      </w:r>
    </w:p>
    <w:p>
      <w:pPr>
        <w:spacing w:after="0" w:line="225" w:lineRule="exact"/>
        <w:rPr>
          <w:rFonts w:ascii="Times New Roman" w:cs="Times New Roman" w:eastAsia="Times New Roman" w:hAnsi="Times New Roman"/>
          <w:sz w:val="18"/>
          <w:szCs w:val="18"/>
          <w:color w:val="auto"/>
        </w:rPr>
      </w:pPr>
    </w:p>
    <w:p>
      <w:pPr>
        <w:ind w:left="980" w:right="500" w:hanging="243"/>
        <w:spacing w:after="0" w:line="286" w:lineRule="auto"/>
        <w:tabs>
          <w:tab w:leader="none" w:pos="97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Mosaic Group</w:t>
      </w:r>
      <w:r>
        <w:rPr>
          <w:rFonts w:ascii="Times New Roman" w:cs="Times New Roman" w:eastAsia="Times New Roman" w:hAnsi="Times New Roman"/>
          <w:sz w:val="18"/>
          <w:szCs w:val="18"/>
          <w:color w:val="auto"/>
        </w:rPr>
        <w:t>, a former developer and provider of global subscription mobile applications, for periods prior to the sale of its assets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February 15, 2024, which was accounted for as a sale of a business, for approximately $160 million;</w:t>
      </w:r>
    </w:p>
    <w:p>
      <w:pPr>
        <w:spacing w:after="0" w:line="154" w:lineRule="exact"/>
        <w:rPr>
          <w:rFonts w:ascii="Times New Roman" w:cs="Times New Roman" w:eastAsia="Times New Roman" w:hAnsi="Times New Roman"/>
          <w:sz w:val="18"/>
          <w:szCs w:val="18"/>
          <w:color w:val="auto"/>
        </w:rPr>
      </w:pPr>
    </w:p>
    <w:p>
      <w:pPr>
        <w:ind w:left="980" w:hanging="243"/>
        <w:spacing w:after="0"/>
        <w:tabs>
          <w:tab w:leader="none" w:pos="9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Roofing</w:t>
      </w:r>
      <w:r>
        <w:rPr>
          <w:rFonts w:ascii="Times New Roman" w:cs="Times New Roman" w:eastAsia="Times New Roman" w:hAnsi="Times New Roman"/>
          <w:sz w:val="18"/>
          <w:szCs w:val="18"/>
          <w:color w:val="auto"/>
        </w:rPr>
        <w:t>, a provider of roof replacement and repair services, for periods prior to its sale on November 1, 2023; and</w:t>
      </w:r>
    </w:p>
    <w:p>
      <w:pPr>
        <w:spacing w:after="0" w:line="225" w:lineRule="exact"/>
        <w:rPr>
          <w:rFonts w:ascii="Times New Roman" w:cs="Times New Roman" w:eastAsia="Times New Roman" w:hAnsi="Times New Roman"/>
          <w:sz w:val="18"/>
          <w:szCs w:val="18"/>
          <w:color w:val="auto"/>
        </w:rPr>
      </w:pPr>
    </w:p>
    <w:p>
      <w:pPr>
        <w:ind w:left="980" w:hanging="243"/>
        <w:spacing w:after="0"/>
        <w:tabs>
          <w:tab w:leader="none" w:pos="9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The Daily Beast, IAC Films </w:t>
      </w:r>
      <w:r>
        <w:rPr>
          <w:rFonts w:ascii="Times New Roman" w:cs="Times New Roman" w:eastAsia="Times New Roman" w:hAnsi="Times New Roman"/>
          <w:sz w:val="18"/>
          <w:szCs w:val="18"/>
          <w:color w:val="auto"/>
        </w:rPr>
        <w:t>and, for periods prior to its sale on November 9, 2022,</w:t>
      </w:r>
      <w:r>
        <w:rPr>
          <w:rFonts w:ascii="Times New Roman" w:cs="Times New Roman" w:eastAsia="Times New Roman" w:hAnsi="Times New Roman"/>
          <w:sz w:val="18"/>
          <w:szCs w:val="18"/>
          <w:b w:val="1"/>
          <w:bCs w:val="1"/>
          <w:color w:val="auto"/>
        </w:rPr>
        <w:t xml:space="preserve"> Bluecrew</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Dotdash Meredith</w:t>
      </w:r>
    </w:p>
    <w:p>
      <w:pPr>
        <w:spacing w:after="0" w:line="225" w:lineRule="exact"/>
        <w:rPr>
          <w:sz w:val="20"/>
          <w:szCs w:val="20"/>
          <w:color w:val="auto"/>
        </w:rPr>
      </w:pPr>
    </w:p>
    <w:p>
      <w:pPr>
        <w:ind w:left="660" w:hanging="247"/>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Digital Revenue - </w:t>
      </w:r>
      <w:r>
        <w:rPr>
          <w:rFonts w:ascii="Times New Roman" w:cs="Times New Roman" w:eastAsia="Times New Roman" w:hAnsi="Times New Roman"/>
          <w:sz w:val="18"/>
          <w:szCs w:val="18"/>
          <w:color w:val="auto"/>
        </w:rPr>
        <w:t>includes advertising revenue, performance marketing revenue and licensing and other revenue.</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82"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3" w:right="359" w:bottom="1440" w:gutter="0" w:footer="0" w:header="0"/>
        </w:sectPr>
      </w:pPr>
    </w:p>
    <w:bookmarkStart w:id="45" w:name="page46"/>
    <w:bookmarkEnd w:id="45"/>
    <w:p>
      <w:pPr>
        <w:ind w:left="567" w:right="340" w:hanging="243"/>
        <w:spacing w:after="0" w:line="284" w:lineRule="auto"/>
        <w:tabs>
          <w:tab w:leader="none" w:pos="563"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Advertising revenue </w:t>
      </w:r>
      <w:r>
        <w:rPr>
          <w:rFonts w:ascii="Times New Roman" w:cs="Times New Roman" w:eastAsia="Times New Roman" w:hAnsi="Times New Roman"/>
          <w:sz w:val="18"/>
          <w:szCs w:val="18"/>
          <w:color w:val="auto"/>
        </w:rPr>
        <w:t>- primarily includes revenue generated from display advertisements sold both directly through our sales team and via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programmatic exchanges.</w:t>
      </w:r>
    </w:p>
    <w:p>
      <w:pPr>
        <w:spacing w:after="0" w:line="158" w:lineRule="exact"/>
        <w:rPr>
          <w:rFonts w:ascii="Times New Roman" w:cs="Times New Roman" w:eastAsia="Times New Roman" w:hAnsi="Times New Roman"/>
          <w:sz w:val="18"/>
          <w:szCs w:val="18"/>
          <w:color w:val="auto"/>
        </w:rPr>
      </w:pPr>
    </w:p>
    <w:p>
      <w:pPr>
        <w:ind w:left="567" w:right="20" w:hanging="243"/>
        <w:spacing w:after="0" w:line="258" w:lineRule="auto"/>
        <w:tabs>
          <w:tab w:leader="none" w:pos="563"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Performance marketing revenue </w:t>
      </w:r>
      <w:r>
        <w:rPr>
          <w:rFonts w:ascii="Times New Roman" w:cs="Times New Roman" w:eastAsia="Times New Roman" w:hAnsi="Times New Roman"/>
          <w:sz w:val="18"/>
          <w:szCs w:val="18"/>
          <w:color w:val="auto"/>
        </w:rPr>
        <w:t>- primarily includes revenue generated through affiliate commerce, affinity marketing channels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marketing commissions. Affiliate commerce commission revenue is generated when Dotdash Meredith refers users to commerce partner websites resulting in a purchase or transaction. Affinity marketing programs market and place magazine subscriptions for both Dotdash Meredith and third-party publisher titles. Performance marketing commissions are generated on a cost-per-click or cost-per-action basis.</w:t>
      </w:r>
    </w:p>
    <w:p>
      <w:pPr>
        <w:spacing w:after="0" w:line="183" w:lineRule="exact"/>
        <w:rPr>
          <w:rFonts w:ascii="Times New Roman" w:cs="Times New Roman" w:eastAsia="Times New Roman" w:hAnsi="Times New Roman"/>
          <w:sz w:val="18"/>
          <w:szCs w:val="18"/>
          <w:color w:val="auto"/>
        </w:rPr>
      </w:pPr>
    </w:p>
    <w:p>
      <w:pPr>
        <w:ind w:left="567" w:right="280" w:hanging="243"/>
        <w:spacing w:after="0" w:line="261" w:lineRule="auto"/>
        <w:tabs>
          <w:tab w:leader="none" w:pos="563"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Licensing and Other revenue </w:t>
      </w:r>
      <w:r>
        <w:rPr>
          <w:rFonts w:ascii="Times New Roman" w:cs="Times New Roman" w:eastAsia="Times New Roman" w:hAnsi="Times New Roman"/>
          <w:sz w:val="18"/>
          <w:szCs w:val="18"/>
          <w:color w:val="auto"/>
        </w:rPr>
        <w:t>- primarily includes revenue generated through brand and content licensing and similar agreements. Brand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licensing generates royalties from multiple long-term trademark licensing agreements with retailers, manufacturers, publishers and service providers. Content licensing royalties are earned from our relationship with Apple News+ as well as other content use and distribution relationships, including utilization in large-language models and other artificial intelligence-related activities.</w:t>
      </w:r>
    </w:p>
    <w:p>
      <w:pPr>
        <w:spacing w:after="0" w:line="177" w:lineRule="exact"/>
        <w:rPr>
          <w:rFonts w:ascii="Times New Roman" w:cs="Times New Roman" w:eastAsia="Times New Roman" w:hAnsi="Times New Roman"/>
          <w:sz w:val="18"/>
          <w:szCs w:val="18"/>
          <w:color w:val="auto"/>
        </w:rPr>
      </w:pPr>
    </w:p>
    <w:p>
      <w:pPr>
        <w:ind w:left="247" w:hanging="247"/>
        <w:spacing w:after="0"/>
        <w:tabs>
          <w:tab w:leader="none" w:pos="24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Print Revenue </w:t>
      </w:r>
      <w:r>
        <w:rPr>
          <w:rFonts w:ascii="Times New Roman" w:cs="Times New Roman" w:eastAsia="Times New Roman" w:hAnsi="Times New Roman"/>
          <w:sz w:val="18"/>
          <w:szCs w:val="18"/>
          <w:color w:val="auto"/>
        </w:rPr>
        <w:t>- primarily includes subscription, advertising, newsstand and performance marketing revenue.</w:t>
      </w:r>
    </w:p>
    <w:p>
      <w:pPr>
        <w:spacing w:after="0" w:line="225" w:lineRule="exact"/>
        <w:rPr>
          <w:rFonts w:ascii="Times New Roman" w:cs="Times New Roman" w:eastAsia="Times New Roman" w:hAnsi="Times New Roman"/>
          <w:sz w:val="18"/>
          <w:szCs w:val="18"/>
          <w:color w:val="auto"/>
        </w:rPr>
      </w:pPr>
    </w:p>
    <w:p>
      <w:pPr>
        <w:ind w:left="247" w:hanging="247"/>
        <w:spacing w:after="0"/>
        <w:tabs>
          <w:tab w:leader="none" w:pos="24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Total Sessions </w:t>
      </w:r>
      <w:r>
        <w:rPr>
          <w:rFonts w:ascii="Times New Roman" w:cs="Times New Roman" w:eastAsia="Times New Roman" w:hAnsi="Times New Roman"/>
          <w:sz w:val="18"/>
          <w:szCs w:val="18"/>
          <w:color w:val="auto"/>
        </w:rPr>
        <w:t>- represents unique visits to all sites that are part of Dotdash Meredith's network and is sourced from Google Analytics.</w:t>
      </w:r>
    </w:p>
    <w:p>
      <w:pPr>
        <w:spacing w:after="0" w:line="225" w:lineRule="exact"/>
        <w:rPr>
          <w:rFonts w:ascii="Times New Roman" w:cs="Times New Roman" w:eastAsia="Times New Roman" w:hAnsi="Times New Roman"/>
          <w:sz w:val="18"/>
          <w:szCs w:val="18"/>
          <w:color w:val="auto"/>
        </w:rPr>
      </w:pPr>
    </w:p>
    <w:p>
      <w:pPr>
        <w:ind w:left="247" w:right="80" w:hanging="247"/>
        <w:spacing w:after="0" w:line="286" w:lineRule="auto"/>
        <w:tabs>
          <w:tab w:leader="none" w:pos="24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Core Sessions </w:t>
      </w:r>
      <w:r>
        <w:rPr>
          <w:rFonts w:ascii="Times New Roman" w:cs="Times New Roman" w:eastAsia="Times New Roman" w:hAnsi="Times New Roman"/>
          <w:sz w:val="18"/>
          <w:szCs w:val="18"/>
          <w:color w:val="auto"/>
        </w:rPr>
        <w:t>- represents a subset of Total Sessions that comprises unique visits to Dotdash Meredith's most significant (in terms of investment)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owned and operated sites as follows:</w:t>
      </w:r>
    </w:p>
    <w:p>
      <w:pPr>
        <w:spacing w:after="0" w:line="204" w:lineRule="exact"/>
        <w:rPr>
          <w:sz w:val="20"/>
          <w:szCs w:val="20"/>
          <w:color w:val="auto"/>
        </w:rPr>
      </w:pPr>
    </w:p>
    <w:tbl>
      <w:tblPr>
        <w:tblLayout w:type="fixed"/>
        <w:tblInd w:w="327" w:type="dxa"/>
        <w:tblCellMar>
          <w:top w:w="0" w:type="dxa"/>
          <w:left w:w="0" w:type="dxa"/>
          <w:bottom w:w="0" w:type="dxa"/>
          <w:right w:w="0" w:type="dxa"/>
        </w:tblCellMar>
      </w:tblPr>
      <w:tr>
        <w:trPr>
          <w:trHeight w:val="230"/>
        </w:trPr>
        <w:tc>
          <w:tcPr>
            <w:tcW w:w="350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People</w:t>
            </w:r>
          </w:p>
        </w:tc>
        <w:tc>
          <w:tcPr>
            <w:tcW w:w="3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InStyle</w:t>
            </w:r>
          </w:p>
        </w:tc>
        <w:tc>
          <w:tcPr>
            <w:tcW w:w="2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Simply Recipes</w:t>
            </w:r>
          </w:p>
        </w:tc>
      </w:tr>
      <w:tr>
        <w:trPr>
          <w:trHeight w:val="229"/>
        </w:trPr>
        <w:tc>
          <w:tcPr>
            <w:tcW w:w="35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allrecipes</w:t>
            </w: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FOOD &amp; WINE</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Serious Eats</w:t>
            </w:r>
          </w:p>
        </w:tc>
      </w:tr>
      <w:tr>
        <w:trPr>
          <w:trHeight w:val="229"/>
        </w:trPr>
        <w:tc>
          <w:tcPr>
            <w:tcW w:w="350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Investopedia</w:t>
            </w:r>
          </w:p>
        </w:tc>
        <w:tc>
          <w:tcPr>
            <w:tcW w:w="3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Martha Stewart</w:t>
            </w:r>
          </w:p>
        </w:tc>
        <w:tc>
          <w:tcPr>
            <w:tcW w:w="2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EatingWell</w:t>
            </w:r>
          </w:p>
        </w:tc>
      </w:tr>
      <w:tr>
        <w:trPr>
          <w:trHeight w:val="230"/>
        </w:trPr>
        <w:tc>
          <w:tcPr>
            <w:tcW w:w="35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Better Homes &amp; Gardens</w:t>
            </w: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BYRDIE</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Parents</w:t>
            </w:r>
          </w:p>
        </w:tc>
      </w:tr>
      <w:tr>
        <w:trPr>
          <w:trHeight w:val="230"/>
        </w:trPr>
        <w:tc>
          <w:tcPr>
            <w:tcW w:w="350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8"/>
              </w:rPr>
              <w:t>Verywell Health</w:t>
            </w:r>
          </w:p>
        </w:tc>
        <w:tc>
          <w:tcPr>
            <w:tcW w:w="3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REAL SIMPLE</w:t>
            </w:r>
          </w:p>
        </w:tc>
        <w:tc>
          <w:tcPr>
            <w:tcW w:w="2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Verywell Mind</w:t>
            </w:r>
          </w:p>
        </w:tc>
      </w:tr>
      <w:tr>
        <w:trPr>
          <w:trHeight w:val="230"/>
        </w:trPr>
        <w:tc>
          <w:tcPr>
            <w:tcW w:w="35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The Spruce</w:t>
            </w: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Southern Living</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Health</w:t>
            </w:r>
          </w:p>
        </w:tc>
      </w:tr>
      <w:tr>
        <w:trPr>
          <w:trHeight w:val="230"/>
        </w:trPr>
        <w:tc>
          <w:tcPr>
            <w:tcW w:w="350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8"/>
              </w:rPr>
              <w:t>TRAVEL + LEISURE</w:t>
            </w:r>
          </w:p>
        </w:tc>
        <w:tc>
          <w:tcPr>
            <w:tcW w:w="3000" w:type="dxa"/>
            <w:vAlign w:val="bottom"/>
            <w:shd w:val="clear" w:color="auto" w:fill="CCEEFF"/>
          </w:tcPr>
          <w:p>
            <w:pPr>
              <w:spacing w:after="0"/>
              <w:rPr>
                <w:sz w:val="19"/>
                <w:szCs w:val="19"/>
                <w:color w:val="auto"/>
              </w:rPr>
            </w:pPr>
          </w:p>
        </w:tc>
        <w:tc>
          <w:tcPr>
            <w:tcW w:w="2920" w:type="dxa"/>
            <w:vAlign w:val="bottom"/>
            <w:shd w:val="clear" w:color="auto" w:fill="CCEEFF"/>
          </w:tcPr>
          <w:p>
            <w:pPr>
              <w:spacing w:after="0"/>
              <w:rPr>
                <w:sz w:val="19"/>
                <w:szCs w:val="19"/>
                <w:color w:val="auto"/>
              </w:rPr>
            </w:pPr>
          </w:p>
        </w:tc>
      </w:tr>
    </w:tbl>
    <w:p>
      <w:pPr>
        <w:spacing w:after="0" w:line="288" w:lineRule="exact"/>
        <w:rPr>
          <w:sz w:val="20"/>
          <w:szCs w:val="20"/>
          <w:color w:val="auto"/>
        </w:rPr>
      </w:pPr>
    </w:p>
    <w:p>
      <w:pPr>
        <w:ind w:left="247"/>
        <w:spacing w:after="0"/>
        <w:rPr>
          <w:sz w:val="20"/>
          <w:szCs w:val="20"/>
          <w:color w:val="auto"/>
        </w:rPr>
      </w:pPr>
      <w:r>
        <w:rPr>
          <w:rFonts w:ascii="Times New Roman" w:cs="Times New Roman" w:eastAsia="Times New Roman" w:hAnsi="Times New Roman"/>
          <w:sz w:val="18"/>
          <w:szCs w:val="18"/>
          <w:b w:val="1"/>
          <w:bCs w:val="1"/>
          <w:i w:val="1"/>
          <w:iCs w:val="1"/>
          <w:color w:val="auto"/>
        </w:rPr>
        <w:t>Angi</w:t>
      </w:r>
    </w:p>
    <w:p>
      <w:pPr>
        <w:spacing w:after="0" w:line="225" w:lineRule="exact"/>
        <w:rPr>
          <w:sz w:val="20"/>
          <w:szCs w:val="20"/>
          <w:color w:val="auto"/>
        </w:rPr>
      </w:pPr>
    </w:p>
    <w:p>
      <w:pPr>
        <w:ind w:left="247" w:right="540" w:hanging="247"/>
        <w:spacing w:after="0" w:line="286" w:lineRule="auto"/>
        <w:tabs>
          <w:tab w:leader="none" w:pos="24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Ads and Leads Revenue </w:t>
      </w:r>
      <w:r>
        <w:rPr>
          <w:rFonts w:ascii="Times New Roman" w:cs="Times New Roman" w:eastAsia="Times New Roman" w:hAnsi="Times New Roman"/>
          <w:sz w:val="18"/>
          <w:szCs w:val="18"/>
          <w:color w:val="auto"/>
        </w:rPr>
        <w:t>- primarily comprises domestic revenue from consumer connection revenue for consumer matches, revenue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professionals under contract for advertising and membership subscription revenue from professionals and consumers.</w:t>
      </w:r>
    </w:p>
    <w:p>
      <w:pPr>
        <w:spacing w:after="0" w:line="154" w:lineRule="exact"/>
        <w:rPr>
          <w:rFonts w:ascii="Times New Roman" w:cs="Times New Roman" w:eastAsia="Times New Roman" w:hAnsi="Times New Roman"/>
          <w:sz w:val="18"/>
          <w:szCs w:val="18"/>
          <w:color w:val="auto"/>
        </w:rPr>
      </w:pPr>
    </w:p>
    <w:p>
      <w:pPr>
        <w:ind w:left="247" w:right="260" w:hanging="247"/>
        <w:spacing w:after="0" w:line="286" w:lineRule="auto"/>
        <w:tabs>
          <w:tab w:leader="none" w:pos="24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Services Revenue </w:t>
      </w:r>
      <w:r>
        <w:rPr>
          <w:rFonts w:ascii="Times New Roman" w:cs="Times New Roman" w:eastAsia="Times New Roman" w:hAnsi="Times New Roman"/>
          <w:sz w:val="18"/>
          <w:szCs w:val="18"/>
          <w:color w:val="auto"/>
        </w:rPr>
        <w:t>- primarily comprises domestic revenue from pre-priced offerings by which the consumer requests services through an Angi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platform and Angi connects them with a professional to perform the service.</w:t>
      </w:r>
    </w:p>
    <w:p>
      <w:pPr>
        <w:spacing w:after="0" w:line="141" w:lineRule="exact"/>
        <w:rPr>
          <w:rFonts w:ascii="Times New Roman" w:cs="Times New Roman" w:eastAsia="Times New Roman" w:hAnsi="Times New Roman"/>
          <w:sz w:val="18"/>
          <w:szCs w:val="18"/>
          <w:color w:val="auto"/>
        </w:rPr>
      </w:pPr>
    </w:p>
    <w:p>
      <w:pPr>
        <w:ind w:left="247" w:right="620" w:hanging="247"/>
        <w:spacing w:after="0" w:line="271" w:lineRule="auto"/>
        <w:tabs>
          <w:tab w:leader="none" w:pos="24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International Revenue - </w:t>
      </w:r>
      <w:r>
        <w:rPr>
          <w:rFonts w:ascii="Times New Roman" w:cs="Times New Roman" w:eastAsia="Times New Roman" w:hAnsi="Times New Roman"/>
          <w:sz w:val="18"/>
          <w:szCs w:val="18"/>
          <w:color w:val="auto"/>
        </w:rPr>
        <w:t>primarily comprises revenue generated within the International segment (consisting of businesses in Europe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Canada), including consumer connection revenue for consumer matches and membership subscription revenue from professionals.</w:t>
      </w:r>
    </w:p>
    <w:p>
      <w:pPr>
        <w:spacing w:after="0" w:line="180" w:lineRule="exact"/>
        <w:rPr>
          <w:rFonts w:ascii="Times New Roman" w:cs="Times New Roman" w:eastAsia="Times New Roman" w:hAnsi="Times New Roman"/>
          <w:sz w:val="18"/>
          <w:szCs w:val="18"/>
          <w:color w:val="auto"/>
        </w:rPr>
      </w:pPr>
    </w:p>
    <w:p>
      <w:pPr>
        <w:ind w:left="247" w:hanging="247"/>
        <w:spacing w:after="0" w:line="266" w:lineRule="auto"/>
        <w:tabs>
          <w:tab w:leader="none" w:pos="242"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Service Requests </w:t>
      </w:r>
      <w:r>
        <w:rPr>
          <w:rFonts w:ascii="Times New Roman" w:cs="Times New Roman" w:eastAsia="Times New Roman" w:hAnsi="Times New Roman"/>
          <w:sz w:val="17"/>
          <w:szCs w:val="17"/>
          <w:color w:val="auto"/>
        </w:rPr>
        <w:t>- are (i) fully completed and submitted domestic service requests for connections with Ads and Leads professionals, (ii) contacts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 Ads and Leads professionals generated via the professional directory from unique users in unique categories (such that multiple contacts from the same user in the same category in the same day are counted as one Service Request) and (iii) requests to book Services jobs in the period.</w:t>
      </w:r>
    </w:p>
    <w:p>
      <w:pPr>
        <w:spacing w:after="0" w:line="187" w:lineRule="exact"/>
        <w:rPr>
          <w:rFonts w:ascii="Times New Roman" w:cs="Times New Roman" w:eastAsia="Times New Roman" w:hAnsi="Times New Roman"/>
          <w:sz w:val="17"/>
          <w:szCs w:val="17"/>
          <w:color w:val="auto"/>
        </w:rPr>
      </w:pPr>
    </w:p>
    <w:p>
      <w:pPr>
        <w:ind w:left="247" w:right="120" w:hanging="247"/>
        <w:spacing w:after="0" w:line="271" w:lineRule="auto"/>
        <w:tabs>
          <w:tab w:leader="none" w:pos="24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Monetized Transactions - </w:t>
      </w:r>
      <w:r>
        <w:rPr>
          <w:rFonts w:ascii="Times New Roman" w:cs="Times New Roman" w:eastAsia="Times New Roman" w:hAnsi="Times New Roman"/>
          <w:sz w:val="18"/>
          <w:szCs w:val="18"/>
          <w:color w:val="auto"/>
        </w:rPr>
        <w:t>are (i) Service Requests that are matched to a paying Ads and Leads professional in the period and (ii) completed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in-process Services jobs in the period; a single Service Request can result in multiple monetized transactions.</w:t>
      </w:r>
    </w:p>
    <w:p>
      <w:pPr>
        <w:spacing w:after="0" w:line="194" w:lineRule="exact"/>
        <w:rPr>
          <w:rFonts w:ascii="Times New Roman" w:cs="Times New Roman" w:eastAsia="Times New Roman" w:hAnsi="Times New Roman"/>
          <w:sz w:val="18"/>
          <w:szCs w:val="18"/>
          <w:color w:val="auto"/>
        </w:rPr>
      </w:pPr>
    </w:p>
    <w:p>
      <w:pPr>
        <w:ind w:left="247" w:hanging="247"/>
        <w:spacing w:after="0" w:line="260" w:lineRule="auto"/>
        <w:tabs>
          <w:tab w:leader="none" w:pos="24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Transacting Professionals </w:t>
      </w:r>
      <w:r>
        <w:rPr>
          <w:rFonts w:ascii="Times New Roman" w:cs="Times New Roman" w:eastAsia="Times New Roman" w:hAnsi="Times New Roman"/>
          <w:sz w:val="18"/>
          <w:szCs w:val="18"/>
          <w:color w:val="auto"/>
        </w:rPr>
        <w:t>(“Transacting Pros” formerly known as Transacting Service Professionals or “Transacting SPs”) - are the number of (i)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Ads and Leads professionals that paid for consumer matches or advertising and (ii) Services professionals that performed a Services job, during the most recent quarter.</w:t>
      </w:r>
    </w:p>
    <w:p>
      <w:pPr>
        <w:spacing w:after="0" w:line="200" w:lineRule="exact"/>
        <w:rPr>
          <w:sz w:val="20"/>
          <w:szCs w:val="20"/>
          <w:color w:val="auto"/>
        </w:rPr>
      </w:pPr>
    </w:p>
    <w:p>
      <w:pPr>
        <w:spacing w:after="0" w:line="306" w:lineRule="exact"/>
        <w:rPr>
          <w:sz w:val="20"/>
          <w:szCs w:val="20"/>
          <w:color w:val="auto"/>
        </w:rPr>
      </w:pPr>
    </w:p>
    <w:p>
      <w:pPr>
        <w:jc w:val="center"/>
        <w:ind w:right="373"/>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-269240</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7"/>
          </w:cols>
          <w:pgMar w:left="733" w:top="1105" w:right="359" w:bottom="1440" w:gutter="0" w:footer="0" w:header="0"/>
        </w:sectPr>
      </w:pPr>
    </w:p>
    <w:bookmarkStart w:id="46" w:name="page47"/>
    <w:bookmarkEnd w:id="46"/>
    <w:p>
      <w:pPr>
        <w:ind w:left="180"/>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p>
      <w:pPr>
        <w:spacing w:after="0" w:line="212" w:lineRule="exact"/>
        <w:rPr>
          <w:sz w:val="20"/>
          <w:szCs w:val="20"/>
          <w:color w:val="auto"/>
        </w:rPr>
      </w:pPr>
    </w:p>
    <w:p>
      <w:pPr>
        <w:ind w:left="660" w:right="100" w:hanging="247"/>
        <w:spacing w:after="0" w:line="237" w:lineRule="auto"/>
        <w:tabs>
          <w:tab w:leader="none" w:pos="655" w:val="left"/>
        </w:tabs>
        <w:numPr>
          <w:ilvl w:val="0"/>
          <w:numId w:val="2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color w:val="auto"/>
        </w:rPr>
        <w:t xml:space="preserve">Cost of revenue (exclusive of depreciation) - </w:t>
      </w:r>
      <w:r>
        <w:rPr>
          <w:rFonts w:ascii="Times New Roman" w:cs="Times New Roman" w:eastAsia="Times New Roman" w:hAnsi="Times New Roman"/>
          <w:sz w:val="18"/>
          <w:szCs w:val="18"/>
          <w:color w:val="auto"/>
        </w:rPr>
        <w:t>consists primarily of traffic acquisition costs, which include (i) payments made to partners who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direct traffic to our Ask Media Group websites and who distribute our business-to-business customized browser-based applications and (ii) the amortization of fees paid to Apple and Google related to the distribution of apps and the facilitation of in-app purchases. Traffic acquisition costs include payment of amounts based on revenue share and other arrangements. Cost of revenue also includes production, distribution and editorial costs at Dotdash Meredith, compensation expense (including stock-based compensation expense) and other employee-related costs, content costs, roofing material and third-party contactor costs associated with Roofing arrangements for periods prior to its sale on November 1, 2023, hosting fees, credit card processing fees, payments made to independent third-party professionals who performed work contracted under Services arrangements that were entered into prior to January 1, 2023 and the change to net revenue reporting described below and payments made to care providers for </w:t>
      </w:r>
      <w:r>
        <w:rPr>
          <w:rFonts w:ascii="Times New Roman" w:cs="Times New Roman" w:eastAsia="Times New Roman" w:hAnsi="Times New Roman"/>
          <w:sz w:val="18"/>
          <w:szCs w:val="18"/>
          <w:i w:val="1"/>
          <w:iCs w:val="1"/>
          <w:color w:val="auto"/>
        </w:rPr>
        <w:t>Care For Business.</w:t>
      </w:r>
    </w:p>
    <w:p>
      <w:pPr>
        <w:spacing w:after="0" w:line="185" w:lineRule="exact"/>
        <w:rPr>
          <w:rFonts w:ascii="Times New Roman" w:cs="Times New Roman" w:eastAsia="Times New Roman" w:hAnsi="Times New Roman"/>
          <w:sz w:val="18"/>
          <w:szCs w:val="18"/>
          <w:i w:val="1"/>
          <w:iCs w:val="1"/>
          <w:color w:val="auto"/>
        </w:rPr>
      </w:pPr>
    </w:p>
    <w:p>
      <w:pPr>
        <w:ind w:left="660" w:hanging="247"/>
        <w:spacing w:after="0" w:line="242" w:lineRule="auto"/>
        <w:tabs>
          <w:tab w:leader="none" w:pos="655" w:val="left"/>
        </w:tabs>
        <w:numPr>
          <w:ilvl w:val="0"/>
          <w:numId w:val="2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color w:val="auto"/>
        </w:rPr>
        <w:t xml:space="preserve">Selling and marketing expense - </w:t>
      </w:r>
      <w:r>
        <w:rPr>
          <w:rFonts w:ascii="Times New Roman" w:cs="Times New Roman" w:eastAsia="Times New Roman" w:hAnsi="Times New Roman"/>
          <w:sz w:val="18"/>
          <w:szCs w:val="18"/>
          <w:color w:val="auto"/>
        </w:rPr>
        <w:t>consists primarily of advertising expenditures, which include online marketing expenditures, including fees paid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search engines, social media sites and other online marketing platforms, app platforms and partner-related payments to those who direct traffic to the brands within our Angi segment, offline marketing expenditures, which primarily consists of costs related to television, streaming and radio advertising within our Angi and Care.com segments, compensation expense (including stock-based compensation expense) and other employee-related costs for sales force and marketing personnel, subscription acquisition costs related to Dotdash Meredith, outsourced personnel and consulting costs and service guarantee expense at Angi.</w:t>
      </w:r>
    </w:p>
    <w:p>
      <w:pPr>
        <w:spacing w:after="0" w:line="178" w:lineRule="exact"/>
        <w:rPr>
          <w:rFonts w:ascii="Times New Roman" w:cs="Times New Roman" w:eastAsia="Times New Roman" w:hAnsi="Times New Roman"/>
          <w:sz w:val="18"/>
          <w:szCs w:val="18"/>
          <w:i w:val="1"/>
          <w:iCs w:val="1"/>
          <w:color w:val="auto"/>
        </w:rPr>
      </w:pPr>
    </w:p>
    <w:p>
      <w:pPr>
        <w:ind w:left="660" w:right="20" w:hanging="247"/>
        <w:spacing w:after="0" w:line="239"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General and administrative expense - </w:t>
      </w:r>
      <w:r>
        <w:rPr>
          <w:rFonts w:ascii="Times New Roman" w:cs="Times New Roman" w:eastAsia="Times New Roman" w:hAnsi="Times New Roman"/>
          <w:sz w:val="18"/>
          <w:szCs w:val="18"/>
          <w:color w:val="auto"/>
        </w:rPr>
        <w:t>consists primarily of compensation expense (including stock-based compensation expense) and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employee-related costs for personnel engaged in executive management, finance, legal, tax, human resources and customer service functions, rent expense and facilities cost (including impairments of right-of-use assets or “ROU assets”), fees for professional services (including transaction-related costs related to the Distribution and acquisitions), provision for credit losses, software license and maintenance costs and acquisition-related contingent consideration fair value adjustments (described below). The customer service function at Angi and Care.com includes personnel who provide support to its professionals and caregivers, respectively, and consumers.</w:t>
      </w:r>
    </w:p>
    <w:p>
      <w:pPr>
        <w:spacing w:after="0" w:line="180" w:lineRule="exact"/>
        <w:rPr>
          <w:rFonts w:ascii="Times New Roman" w:cs="Times New Roman" w:eastAsia="Times New Roman" w:hAnsi="Times New Roman"/>
          <w:sz w:val="18"/>
          <w:szCs w:val="18"/>
          <w:color w:val="auto"/>
        </w:rPr>
      </w:pPr>
    </w:p>
    <w:p>
      <w:pPr>
        <w:jc w:val="both"/>
        <w:ind w:left="660" w:right="20" w:hanging="247"/>
        <w:spacing w:after="0" w:line="25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Product development expense </w:t>
      </w:r>
      <w:r>
        <w:rPr>
          <w:rFonts w:ascii="Times New Roman" w:cs="Times New Roman" w:eastAsia="Times New Roman" w:hAnsi="Times New Roman"/>
          <w:sz w:val="18"/>
          <w:szCs w:val="18"/>
          <w:color w:val="auto"/>
        </w:rPr>
        <w:t>- consists primarily of compensation expense (including stock-based compensation expense) and other employee-related costs and third-party contractor costs that are not capitalized for personnel engaged in the design, development, testing and enhancement of product offerings and related technology and software license and maintenance costs.</w:t>
      </w:r>
    </w:p>
    <w:p>
      <w:pPr>
        <w:spacing w:after="0" w:line="171" w:lineRule="exact"/>
        <w:rPr>
          <w:rFonts w:ascii="Times New Roman" w:cs="Times New Roman" w:eastAsia="Times New Roman" w:hAnsi="Times New Roman"/>
          <w:sz w:val="18"/>
          <w:szCs w:val="18"/>
          <w:color w:val="auto"/>
        </w:rPr>
      </w:pPr>
    </w:p>
    <w:p>
      <w:pPr>
        <w:ind w:left="660" w:right="160" w:hanging="247"/>
        <w:spacing w:after="0" w:line="246"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Acquisition-related contingent consideration fair value adjustments </w:t>
      </w:r>
      <w:r>
        <w:rPr>
          <w:rFonts w:ascii="Times New Roman" w:cs="Times New Roman" w:eastAsia="Times New Roman" w:hAnsi="Times New Roman"/>
          <w:sz w:val="18"/>
          <w:szCs w:val="18"/>
          <w:color w:val="auto"/>
        </w:rPr>
        <w:t>- relate to the portion of the purchase price of certain acquisitions that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contingent upon the financial performance and/or operating metric targets of the acquired company. Changes in the estimated fair value of the contingent consideration arrangements, if applicable, are recognized during each reporting period in “General and administrative expense” in the statement of operations.</w:t>
      </w:r>
    </w:p>
    <w:p>
      <w:pPr>
        <w:spacing w:after="0" w:line="1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Long-term debt </w:t>
      </w:r>
      <w:r>
        <w:rPr>
          <w:rFonts w:ascii="Times New Roman" w:cs="Times New Roman" w:eastAsia="Times New Roman" w:hAnsi="Times New Roman"/>
          <w:sz w:val="18"/>
          <w:szCs w:val="18"/>
          <w:color w:val="auto"/>
        </w:rPr>
        <w:t>(for additional information see “</w:t>
      </w:r>
      <w:r>
        <w:rPr>
          <w:rFonts w:ascii="Times New Roman" w:cs="Times New Roman" w:eastAsia="Times New Roman" w:hAnsi="Times New Roman"/>
          <w:sz w:val="18"/>
          <w:szCs w:val="18"/>
          <w:u w:val="single" w:color="auto"/>
          <w:color w:val="0000FF"/>
        </w:rPr>
        <w:t>Note 6—Long-term Debt</w:t>
      </w:r>
      <w:r>
        <w:rPr>
          <w:rFonts w:ascii="Times New Roman" w:cs="Times New Roman" w:eastAsia="Times New Roman" w:hAnsi="Times New Roman"/>
          <w:sz w:val="18"/>
          <w:szCs w:val="18"/>
          <w:color w:val="auto"/>
        </w:rPr>
        <w:t>” in the accompanying notes to the financial statements included in “</w:t>
      </w:r>
      <w:r>
        <w:rPr>
          <w:rFonts w:ascii="Times New Roman" w:cs="Times New Roman" w:eastAsia="Times New Roman" w:hAnsi="Times New Roman"/>
          <w:sz w:val="18"/>
          <w:szCs w:val="18"/>
          <w:u w:val="single" w:color="auto"/>
          <w:color w:val="0000FF"/>
        </w:rPr>
        <w:t>Item 8</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—Financial Statements and Supplementary Data</w:t>
      </w:r>
      <w:r>
        <w:rPr>
          <w:rFonts w:ascii="Times New Roman" w:cs="Times New Roman" w:eastAsia="Times New Roman" w:hAnsi="Times New Roman"/>
          <w:sz w:val="18"/>
          <w:szCs w:val="18"/>
          <w:color w:val="000000"/>
        </w:rPr>
        <w:t>”):</w:t>
      </w:r>
    </w:p>
    <w:p>
      <w:pPr>
        <w:spacing w:after="0" w:line="203" w:lineRule="exact"/>
        <w:rPr>
          <w:sz w:val="20"/>
          <w:szCs w:val="20"/>
          <w:color w:val="auto"/>
        </w:rPr>
      </w:pPr>
    </w:p>
    <w:p>
      <w:pPr>
        <w:ind w:left="660" w:right="140" w:hanging="247"/>
        <w:spacing w:after="0" w:line="268"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Dotdash Meredith Term Loan A </w:t>
      </w:r>
      <w:r>
        <w:rPr>
          <w:rFonts w:ascii="Times New Roman" w:cs="Times New Roman" w:eastAsia="Times New Roman" w:hAnsi="Times New Roman"/>
          <w:sz w:val="18"/>
          <w:szCs w:val="18"/>
          <w:color w:val="auto"/>
        </w:rPr>
        <w:t>- due December 1, 2026. At December 31, 2024 and 2023, the outstanding balance of Dotdash Meredith Term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Loan A was $297.5 million and $315.0 million, respectively, and bore interest at an adjusted term secured overnight financing rate (“Adjusted Term SOFR”) plus 2.25%, or 6.94% and 7.69%, respectively. Dotdash Meredith Term Loan A has quarterly principal payments.</w:t>
      </w:r>
    </w:p>
    <w:p>
      <w:pPr>
        <w:spacing w:after="0" w:line="170" w:lineRule="exact"/>
        <w:rPr>
          <w:rFonts w:ascii="Times New Roman" w:cs="Times New Roman" w:eastAsia="Times New Roman" w:hAnsi="Times New Roman"/>
          <w:sz w:val="18"/>
          <w:szCs w:val="18"/>
          <w:color w:val="auto"/>
        </w:rPr>
      </w:pPr>
    </w:p>
    <w:p>
      <w:pPr>
        <w:ind w:left="660" w:hanging="247"/>
        <w:spacing w:after="0" w:line="272" w:lineRule="auto"/>
        <w:tabs>
          <w:tab w:leader="none" w:pos="655"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Dotdash Meredith Term Loan B-1 (replaced Dotdash Meredith Term Loan B) </w:t>
      </w:r>
      <w:r>
        <w:rPr>
          <w:rFonts w:ascii="Times New Roman" w:cs="Times New Roman" w:eastAsia="Times New Roman" w:hAnsi="Times New Roman"/>
          <w:sz w:val="17"/>
          <w:szCs w:val="17"/>
          <w:color w:val="auto"/>
        </w:rPr>
        <w:t>- due December 1, 2028. On November 26, 2024, Dotdash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Meredith entered into Amendment No. 1 to the Dotdash Meredith Credit Agreement (the “Amended Dotdash Meredith Credit Agreement”), which governs both the existing Dotdash Meredith Term Loan A and the Dotdash Meredith Revolving Facility, and replaced $1.18 billion of then outstanding Dotdash Meredith Term Loan B principal with an equal amount of the Dotdash Meredith Term Loan B-1 (together with Dotdash Meredith Term Loan A, these loans are collectively referred to as “Dotdash Meredith Term Loans”). At December 31, 2024, the outstanding balance of Dotdash Meredith Term Loan B-1 was $1.18 billion and bore interest at Adjusted Term SOFR, subject to a minimum of 0.50%, plus 3.50%, or 8.05%. At December 31, 2023, the outstanding balance of Dotdash Meredith Term Loan B was $1.23 billion and bore interest at Adjusted Term SOFR, subject to a minimum of 0.50%, plus 4.00%, or 9.44%. Dotdash Meredith Term Loan B-1 has quarterly principal payments.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47" w:name="page48"/>
    <w:bookmarkEnd w:id="47"/>
    <w:p>
      <w:pPr>
        <w:ind w:left="660" w:right="1000" w:hanging="247"/>
        <w:spacing w:after="0" w:line="286"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Dotdash Meredith Revolving Facility </w:t>
      </w:r>
      <w:r>
        <w:rPr>
          <w:rFonts w:ascii="Times New Roman" w:cs="Times New Roman" w:eastAsia="Times New Roman" w:hAnsi="Times New Roman"/>
          <w:sz w:val="18"/>
          <w:szCs w:val="18"/>
          <w:color w:val="auto"/>
        </w:rPr>
        <w:t>- Dotdash Meredith's $150 million revolving credit facility expires on December 1, 2026.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31, 2024 and 2023, there were no outstanding borrowings under the Dotdash Meredith Revolving Facility.</w:t>
      </w:r>
    </w:p>
    <w:p>
      <w:pPr>
        <w:spacing w:after="0" w:line="154" w:lineRule="exact"/>
        <w:rPr>
          <w:rFonts w:ascii="Times New Roman" w:cs="Times New Roman" w:eastAsia="Times New Roman" w:hAnsi="Times New Roman"/>
          <w:sz w:val="18"/>
          <w:szCs w:val="18"/>
          <w:color w:val="auto"/>
        </w:rPr>
      </w:pPr>
    </w:p>
    <w:p>
      <w:pPr>
        <w:ind w:left="660" w:right="560" w:hanging="247"/>
        <w:spacing w:after="0" w:line="286"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ANGI Group Senior Notes - </w:t>
      </w:r>
      <w:r>
        <w:rPr>
          <w:rFonts w:ascii="Times New Roman" w:cs="Times New Roman" w:eastAsia="Times New Roman" w:hAnsi="Times New Roman"/>
          <w:sz w:val="18"/>
          <w:szCs w:val="18"/>
          <w:color w:val="auto"/>
        </w:rPr>
        <w:t>on August 20, 2020, ANGI Group, LLC (“ANGI Group”), a direct wholly-owned subsidiary of Angi, issued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$500.0 million of its 3.875% Senior Notes due August 15, 2028, with interest payable February 15 and August 15 of each year.</w:t>
      </w:r>
    </w:p>
    <w:p>
      <w:pPr>
        <w:spacing w:after="0" w:line="1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Non-GAAP financial measure:</w:t>
      </w:r>
    </w:p>
    <w:p>
      <w:pPr>
        <w:spacing w:after="0" w:line="225" w:lineRule="exact"/>
        <w:rPr>
          <w:sz w:val="20"/>
          <w:szCs w:val="20"/>
          <w:color w:val="auto"/>
        </w:rPr>
      </w:pPr>
    </w:p>
    <w:p>
      <w:pPr>
        <w:ind w:left="660" w:right="200" w:hanging="247"/>
        <w:spacing w:after="0" w:line="286"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Adjusted Earnings Before Interest, Taxes, Depreciation and Amortization (“Adjusted EBITDA”) </w:t>
      </w:r>
      <w:r>
        <w:rPr>
          <w:rFonts w:ascii="Times New Roman" w:cs="Times New Roman" w:eastAsia="Times New Roman" w:hAnsi="Times New Roman"/>
          <w:sz w:val="18"/>
          <w:szCs w:val="18"/>
          <w:color w:val="auto"/>
        </w:rPr>
        <w:t>- is a non-GAAP financial measure. See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FF"/>
        </w:rPr>
        <w:t>Principles of Financial Reporting</w:t>
      </w:r>
      <w:r>
        <w:rPr>
          <w:rFonts w:ascii="Times New Roman" w:cs="Times New Roman" w:eastAsia="Times New Roman" w:hAnsi="Times New Roman"/>
          <w:sz w:val="18"/>
          <w:szCs w:val="18"/>
          <w:color w:val="auto"/>
        </w:rPr>
        <w:t>” for the definition of Adjusted EBITDA and required non-GAAP reconciliations.</w:t>
      </w:r>
    </w:p>
    <w:p>
      <w:pPr>
        <w:spacing w:after="0" w:line="1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MANAGEMENT OVERVIEW</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For a more complete description of the Company's operating businesses, see “</w:t>
      </w:r>
      <w:r>
        <w:rPr>
          <w:rFonts w:ascii="Times New Roman" w:cs="Times New Roman" w:eastAsia="Times New Roman" w:hAnsi="Times New Roman"/>
          <w:sz w:val="18"/>
          <w:szCs w:val="18"/>
          <w:u w:val="single" w:color="auto"/>
          <w:color w:val="0000FF"/>
        </w:rPr>
        <w:t>Description of IAC Businesses</w:t>
      </w:r>
      <w:r>
        <w:rPr>
          <w:rFonts w:ascii="Times New Roman" w:cs="Times New Roman" w:eastAsia="Times New Roman" w:hAnsi="Times New Roman"/>
          <w:sz w:val="18"/>
          <w:szCs w:val="18"/>
          <w:color w:val="auto"/>
        </w:rPr>
        <w:t>” included in “</w:t>
      </w:r>
      <w:r>
        <w:rPr>
          <w:rFonts w:ascii="Times New Roman" w:cs="Times New Roman" w:eastAsia="Times New Roman" w:hAnsi="Times New Roman"/>
          <w:sz w:val="18"/>
          <w:szCs w:val="18"/>
          <w:u w:val="single" w:color="auto"/>
          <w:color w:val="0000FF"/>
        </w:rPr>
        <w:t>Item 1—Business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480" w:firstLine="405"/>
        <w:spacing w:after="0" w:line="282" w:lineRule="auto"/>
        <w:rPr>
          <w:sz w:val="20"/>
          <w:szCs w:val="20"/>
          <w:color w:val="auto"/>
        </w:rPr>
      </w:pPr>
      <w:r>
        <w:rPr>
          <w:rFonts w:ascii="Times New Roman" w:cs="Times New Roman" w:eastAsia="Times New Roman" w:hAnsi="Times New Roman"/>
          <w:sz w:val="18"/>
          <w:szCs w:val="18"/>
          <w:color w:val="auto"/>
        </w:rPr>
        <w:t>As used herein, “IAC,” the “Company,” “we,” “our” or “us” and similar terms refer to IAC Inc. and its subsidiaries (unless the context requires otherwise).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of Revenue</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Dotdash Meredith</w:t>
      </w:r>
    </w:p>
    <w:p>
      <w:pPr>
        <w:spacing w:after="0" w:line="256" w:lineRule="exact"/>
        <w:rPr>
          <w:sz w:val="20"/>
          <w:szCs w:val="20"/>
          <w:color w:val="auto"/>
        </w:rPr>
      </w:pPr>
    </w:p>
    <w:p>
      <w:pPr>
        <w:jc w:val="both"/>
        <w:ind w:right="480" w:firstLine="405"/>
        <w:spacing w:after="0" w:line="266" w:lineRule="auto"/>
        <w:rPr>
          <w:sz w:val="20"/>
          <w:szCs w:val="20"/>
          <w:color w:val="auto"/>
        </w:rPr>
      </w:pPr>
      <w:r>
        <w:rPr>
          <w:rFonts w:ascii="Times New Roman" w:cs="Times New Roman" w:eastAsia="Times New Roman" w:hAnsi="Times New Roman"/>
          <w:sz w:val="18"/>
          <w:szCs w:val="18"/>
          <w:color w:val="auto"/>
        </w:rPr>
        <w:t>Dotdash Meredith revenue consists of digital and print revenue. Digital revenue consists principally of advertising, performance marketing and licensing and other revenue. Print revenue consists principally of subscription, advertising, project and other, newsstand and performance marketing revenue.</w:t>
      </w:r>
    </w:p>
    <w:p>
      <w:pPr>
        <w:spacing w:after="0" w:line="20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Digital</w:t>
      </w:r>
    </w:p>
    <w:p>
      <w:pPr>
        <w:spacing w:after="0" w:line="254"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Advertising revenue is generated primarily through digital advertisements sold by Dotdash Meredith's sales team directly to advertisers or through advertising agencies and programmatic advertising networks. Performance marketing revenue includes commissions generated through affiliate commerce, affinity marketing channels and performance marketing. Affiliate commerce commission revenue is generated when Dotdash Meredith's branded content refers consumers to commerce partner websites resulting in a purchase or transaction. Affinity marketing programs market and place magazine subscriptions online for both Dotdash Meredith and third-party publisher titles. Performance marketing commissions are generated on a cost-per-click or cost-per-action basis. Licensing and other revenue primarily includes revenue generated through brand and content licensing and similar agreements.</w:t>
      </w:r>
    </w:p>
    <w:p>
      <w:pPr>
        <w:spacing w:after="0" w:line="2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Print</w:t>
      </w:r>
    </w:p>
    <w:p>
      <w:pPr>
        <w:spacing w:after="0" w:line="254"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Subscription revenue relates to the sale of Dotdash Meredith's magazines, including digital editions. Most of Dotdash Meredith's subscription sales are prepaid at the time of order and may be canceled at any time for a refund of the pro rata portion of the initial subscription. Advertising revenue relates to the sale of advertising in magazines directly to advertisers or through advertising agencies. Revenue is recognized on the magazine issue’s on-sale date, which is the date the magazine is published. Project and other revenue include other revenue streams that are primarily project based and may relate to any one or combination of the following activities: audience targeted advertising, custom publishing, content strategy and development, email marketing, social media, database marketing and search engine optimization. Newsstand revenue is related to single copy magazines or bundles of single copy magazines sold to wholesalers for resale on newsstands. Publications sold to magazine wholesalers are sold with the right to receive credit from Dotdash Meredith for magazines returned to the wholesaler by retailers. Performance marketing revenue principally consists of affinity marketing revenue through which Dotdash Meredith places magazine subscriptions for third-party publishers.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3" w:right="379" w:bottom="1440" w:gutter="0" w:footer="0" w:header="0"/>
        </w:sectPr>
      </w:pPr>
    </w:p>
    <w:bookmarkStart w:id="48" w:name="page49"/>
    <w:bookmarkEnd w:id="48"/>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Angi</w:t>
      </w:r>
    </w:p>
    <w:p>
      <w:pPr>
        <w:spacing w:after="0" w:line="256" w:lineRule="exact"/>
        <w:rPr>
          <w:sz w:val="20"/>
          <w:szCs w:val="20"/>
          <w:color w:val="auto"/>
        </w:rPr>
      </w:pPr>
    </w:p>
    <w:p>
      <w:pPr>
        <w:ind w:right="80" w:firstLine="405"/>
        <w:spacing w:after="0" w:line="256" w:lineRule="auto"/>
        <w:rPr>
          <w:sz w:val="20"/>
          <w:szCs w:val="20"/>
          <w:color w:val="auto"/>
        </w:rPr>
      </w:pPr>
      <w:r>
        <w:rPr>
          <w:rFonts w:ascii="Times New Roman" w:cs="Times New Roman" w:eastAsia="Times New Roman" w:hAnsi="Times New Roman"/>
          <w:sz w:val="18"/>
          <w:szCs w:val="18"/>
          <w:color w:val="auto"/>
        </w:rPr>
        <w:t>Ads and Leads revenue includes consumer connection revenue, which comprises fees paid by professionals for consumer matches (regardless of whether the professional ultimately provides the requested service), revenue from professionals under contract for advertising, membership subscription revenue from professionals and consumers and revenue from other services. Consumer connection revenue varies based upon several factors including the service requested, product experience offered, and geographic location of service. Services revenue primarily reflects domestic revenue from pre-priced offerings by which the consumer requests services through an Angi platform and Angi engages a professional to perform the service. International revenue primarily comprises consumer connection revenue for consumer matches and membership subscription revenue from professionals.</w:t>
      </w:r>
    </w:p>
    <w:p>
      <w:pPr>
        <w:spacing w:after="0" w:line="214"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From January 1, 2020 through December 31, 2022, Services recorded revenue on a gross basis. Effective January 1, 2023, Angi modified the Services terms and conditions so that the professional, rather than Angi, has the contractual relationship with the consumer to deliver the service and Angi's performance obligation to the consumer is to connect them with the professional. This change in contractual terms requires revenue to be reported as the net amount of what is received from the consumer after deducting the amounts owed to the professional providing the service effective for all arrangements entered into after December 31, 2022. There is no impact to operating loss or Adjusted EBITDA from this change in revenue recognition. For the year ended December 31, 2022, if Services revenue were recorded on a net basis, revenue would have been reduced by $242.6 million.</w:t>
      </w:r>
    </w:p>
    <w:p>
      <w:pPr>
        <w:spacing w:after="0" w:line="21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Care.com</w:t>
      </w:r>
    </w:p>
    <w:p>
      <w:pPr>
        <w:spacing w:after="0" w:line="216" w:lineRule="exact"/>
        <w:rPr>
          <w:sz w:val="20"/>
          <w:szCs w:val="20"/>
          <w:color w:val="auto"/>
        </w:rPr>
      </w:pPr>
    </w:p>
    <w:p>
      <w:pPr>
        <w:ind w:right="180" w:firstLine="405"/>
        <w:spacing w:after="0" w:line="241" w:lineRule="auto"/>
        <w:rPr>
          <w:sz w:val="20"/>
          <w:szCs w:val="20"/>
          <w:color w:val="auto"/>
        </w:rPr>
      </w:pPr>
      <w:r>
        <w:rPr>
          <w:rFonts w:ascii="Times New Roman" w:cs="Times New Roman" w:eastAsia="Times New Roman" w:hAnsi="Times New Roman"/>
          <w:sz w:val="18"/>
          <w:szCs w:val="18"/>
          <w:color w:val="auto"/>
        </w:rPr>
        <w:t>Care.com consists of consumer and enterprise revenue. Consumer revenue is primarily generated through subscription fees from families and caregivers, both domestically and internationally, for Care.com's suite of products and services. Consumer also includes revenue generated through Care.com's comprehensive household payroll and tax support services (</w:t>
      </w:r>
      <w:r>
        <w:rPr>
          <w:rFonts w:ascii="Times New Roman" w:cs="Times New Roman" w:eastAsia="Times New Roman" w:hAnsi="Times New Roman"/>
          <w:sz w:val="18"/>
          <w:szCs w:val="18"/>
          <w:i w:val="1"/>
          <w:iCs w:val="1"/>
          <w:color w:val="auto"/>
        </w:rPr>
        <w:t>HomePay</w:t>
      </w:r>
      <w:r>
        <w:rPr>
          <w:rFonts w:ascii="Times New Roman" w:cs="Times New Roman" w:eastAsia="Times New Roman" w:hAnsi="Times New Roman"/>
          <w:sz w:val="18"/>
          <w:szCs w:val="18"/>
          <w:color w:val="auto"/>
        </w:rPr>
        <w:t>), as well as through contracts with businesses that advertise through Care.com's platform. Enterprise revenue is primarily generated through annual contracts with businesses (employers or re-sellers) that provide access to Care.com’s suite of products and services as an employee benefit. Fees from enterprise contracts include subscription revenue and backup care (including child, senior and pet) for employees.</w:t>
      </w:r>
    </w:p>
    <w:p>
      <w:pPr>
        <w:spacing w:after="0" w:line="19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Search</w:t>
      </w:r>
    </w:p>
    <w:p>
      <w:pPr>
        <w:spacing w:after="0" w:line="229"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color w:val="auto"/>
        </w:rPr>
        <w:t>The Search segment consists of Ask Media Group and the Desktop business. Ask Media Group and Desktop revenue consist principally of advertising revenue, which is generated primarily through the display of paid listings in response to search queries. The majority of the paid listings displayed are supplied to us by Google Inc. (“Google”) pursuant to our services agreement with Google, dated as of October 26, 2015 and as subsequently amended (the “Services Agreement”), described in more detail in “</w:t>
      </w:r>
      <w:r>
        <w:rPr>
          <w:rFonts w:ascii="Times New Roman" w:cs="Times New Roman" w:eastAsia="Times New Roman" w:hAnsi="Times New Roman"/>
          <w:sz w:val="18"/>
          <w:szCs w:val="18"/>
          <w:u w:val="single" w:color="auto"/>
          <w:color w:val="0000FF"/>
        </w:rPr>
        <w:t>Note 2—Summary of Significant Accounting Policies</w:t>
      </w:r>
      <w:r>
        <w:rPr>
          <w:rFonts w:ascii="Times New Roman" w:cs="Times New Roman" w:eastAsia="Times New Roman" w:hAnsi="Times New Roman"/>
          <w:sz w:val="18"/>
          <w:szCs w:val="18"/>
          <w:color w:val="auto"/>
        </w:rPr>
        <w:t>” to the financial statements included in “</w:t>
      </w:r>
      <w:r>
        <w:rPr>
          <w:rFonts w:ascii="Times New Roman" w:cs="Times New Roman" w:eastAsia="Times New Roman" w:hAnsi="Times New Roman"/>
          <w:sz w:val="18"/>
          <w:szCs w:val="18"/>
          <w:u w:val="single" w:color="auto"/>
          <w:color w:val="0000FF"/>
        </w:rPr>
        <w:t>Item 8—Financial Statements and Supplementary Data</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Emerging &amp; Other</w:t>
      </w:r>
    </w:p>
    <w:p>
      <w:pPr>
        <w:spacing w:after="0" w:line="229"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Included within Emerging &amp; Other is Vivian Health and, prior to their sales on each of February 15, 2024 and November 1, 2023, respectively, Mosaic Group and Roofing. Vivian Health revenue consists of subscription and usage revenue, which is generated through recruiting agencies and other employers that seek access to qualified healthcare professionals. Mosaic Group revenue primarily consisted of fees paid by subscribers for downloadable mobile applications distributed through the Apple App Store and Google Play Store and fees received directly from consumers, as well as display advertisements. Roofing revenue primarily consisted of revenue from the roof replacement business offering by which the consumer purchased services directly from the Roofing business and Roofing then engaged a professional to perform the service. Revenue for the remaining businesses within Emerging &amp; Other is generated primarily through subscriptions, media production and distribution and advertising.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Services Agreement with Google</w:t>
      </w:r>
    </w:p>
    <w:p>
      <w:pPr>
        <w:spacing w:after="0" w:line="229"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On January 20, 2025, the Company entered into a further amendment to its Services Agreement (the “Amendment”), with the amended terms to be effective on April 1, 2025. Following the execution of the Amendment, the expiration date of the Services Agreement was extended from March 31, 2025 to March 31, 2026, with an automatic renewal for an additional one-year period absent a notice of non-renewal from either party on or before December 31, 2025.</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49" w:name="page50"/>
    <w:bookmarkEnd w:id="49"/>
    <w:p>
      <w:pPr>
        <w:ind w:firstLine="405"/>
        <w:spacing w:after="0" w:line="256" w:lineRule="auto"/>
        <w:rPr>
          <w:sz w:val="20"/>
          <w:szCs w:val="20"/>
          <w:color w:val="auto"/>
        </w:rPr>
      </w:pPr>
      <w:r>
        <w:rPr>
          <w:rFonts w:ascii="Times New Roman" w:cs="Times New Roman" w:eastAsia="Times New Roman" w:hAnsi="Times New Roman"/>
          <w:sz w:val="18"/>
          <w:szCs w:val="18"/>
          <w:color w:val="auto"/>
        </w:rPr>
        <w:t>Google has made changes to the policies under the Services Agreement and has also made industry-wide changes that have in the past (and could in the future) require modifications to, or prohibit and/or render obsolete certain of our products, services and/or business practices, which have negatively impacted revenue and been costly to address (and could in the future), which have had and could have an adverse effect on our business, financial condition and results of operations. Further, changes to certain of the economic terms of the Services Agreement will become effective April 1, 2025 and the Company expects this could negatively impact Search revenue. See “</w:t>
      </w:r>
      <w:r>
        <w:rPr>
          <w:rFonts w:ascii="Times New Roman" w:cs="Times New Roman" w:eastAsia="Times New Roman" w:hAnsi="Times New Roman"/>
          <w:sz w:val="18"/>
          <w:szCs w:val="18"/>
          <w:u w:val="single" w:color="auto"/>
          <w:color w:val="0000FF"/>
        </w:rPr>
        <w:t>Note 2—Summary of Significant Accounting Policies</w:t>
      </w:r>
      <w:r>
        <w:rPr>
          <w:rFonts w:ascii="Times New Roman" w:cs="Times New Roman" w:eastAsia="Times New Roman" w:hAnsi="Times New Roman"/>
          <w:sz w:val="18"/>
          <w:szCs w:val="18"/>
          <w:color w:val="auto"/>
        </w:rPr>
        <w:t>” to the financial statements included in “</w:t>
      </w:r>
      <w:r>
        <w:rPr>
          <w:rFonts w:ascii="Times New Roman" w:cs="Times New Roman" w:eastAsia="Times New Roman" w:hAnsi="Times New Roman"/>
          <w:sz w:val="18"/>
          <w:szCs w:val="18"/>
          <w:u w:val="single" w:color="auto"/>
          <w:color w:val="0000FF"/>
        </w:rPr>
        <w:t>Item 8—Financial Statements and Supplementary Data</w:t>
      </w:r>
      <w:r>
        <w:rPr>
          <w:rFonts w:ascii="Times New Roman" w:cs="Times New Roman" w:eastAsia="Times New Roman" w:hAnsi="Times New Roman"/>
          <w:sz w:val="18"/>
          <w:szCs w:val="18"/>
          <w:color w:val="auto"/>
        </w:rPr>
        <w:t>” for additional information on the Services Agreement with Google.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Dotdash Meredith Restructuring and Other Charges</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Restructuring Charges</w:t>
      </w:r>
    </w:p>
    <w:p>
      <w:pPr>
        <w:spacing w:after="0" w:line="229"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During 2022, Dotdash Meredith management committed to several actions to improve efficiencies and better align its cost structure following the acquisition of Meredith on December 1, 2021, which included: (i) the discontinuation of certain print publications and the shutdown of PeopleTV, for which the related expense was primarily reflected in the first quarter of 2022, (ii) a voluntary retirement program, for which the related expense was primarily reflected in the first half of 2022, (iii) the consolidation of certain leased office space, for which the related expense was reflected in the third quarter of 2022 and (iv) a reduction in force plan, which was announced in the first quarter of 2022. These actions resulted in $80.2 million of restructuring charges incurred for the year ended December 31, 2022.</w:t>
      </w:r>
    </w:p>
    <w:p>
      <w:pPr>
        <w:spacing w:after="0" w:line="174" w:lineRule="exact"/>
        <w:rPr>
          <w:sz w:val="20"/>
          <w:szCs w:val="20"/>
          <w:color w:val="auto"/>
        </w:rPr>
      </w:pPr>
    </w:p>
    <w:p>
      <w:pPr>
        <w:ind w:right="120" w:firstLine="405"/>
        <w:spacing w:after="0" w:line="245" w:lineRule="auto"/>
        <w:rPr>
          <w:sz w:val="20"/>
          <w:szCs w:val="20"/>
          <w:color w:val="auto"/>
        </w:rPr>
      </w:pPr>
      <w:r>
        <w:rPr>
          <w:rFonts w:ascii="Times New Roman" w:cs="Times New Roman" w:eastAsia="Times New Roman" w:hAnsi="Times New Roman"/>
          <w:sz w:val="18"/>
          <w:szCs w:val="18"/>
          <w:color w:val="auto"/>
        </w:rPr>
        <w:t>For the year ended December 31, 2022, restructuring charges included impairment charges of $21.3 million related to the consolidation of certain leased spaces following the Meredith acquisition, consisting of impairments of $14.3 million and $7.0 million of an ROU asset and related leasehold improvements, furniture and equipment, respectively, which are included in “General and administrative expense” and “Depreciation,” respectively, in the statement of operations.</w:t>
      </w:r>
    </w:p>
    <w:p>
      <w:pPr>
        <w:spacing w:after="0" w:line="19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Other Charges</w:t>
      </w:r>
    </w:p>
    <w:p>
      <w:pPr>
        <w:spacing w:after="0" w:line="216" w:lineRule="exact"/>
        <w:rPr>
          <w:sz w:val="20"/>
          <w:szCs w:val="20"/>
          <w:color w:val="auto"/>
        </w:rPr>
      </w:pPr>
    </w:p>
    <w:p>
      <w:pPr>
        <w:ind w:right="60" w:firstLine="405"/>
        <w:spacing w:after="0"/>
        <w:rPr>
          <w:sz w:val="20"/>
          <w:szCs w:val="20"/>
          <w:color w:val="auto"/>
        </w:rPr>
      </w:pPr>
      <w:r>
        <w:rPr>
          <w:rFonts w:ascii="Times New Roman" w:cs="Times New Roman" w:eastAsia="Times New Roman" w:hAnsi="Times New Roman"/>
          <w:sz w:val="18"/>
          <w:szCs w:val="18"/>
          <w:color w:val="auto"/>
        </w:rPr>
        <w:t>During the first quarter of 2023, due to the continued decline in the commercial real estate market, Dotdash Meredith recorded impairment charges of $70.0 million related to certain unoccupied leased office space consisting of impairments of $44.7 million and $25.3 million of an ROU asset and related leasehold improvements, furniture and equipment, respectively, which are included in “General and administrative expense” and “Depreciation,” respectively, in the statement of operations.</w:t>
      </w:r>
    </w:p>
    <w:p>
      <w:pPr>
        <w:spacing w:after="0" w:line="198"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u w:val="single" w:color="auto"/>
          <w:color w:val="0000FF"/>
        </w:rPr>
        <w:t>Note 2—Summary of Significant Accounting Policies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0000FF"/>
        </w:rPr>
        <w:t>Note 17—Dotdash Meredith Restructuring Charges, Transaction-Related Expenses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and Change-in-Control Payments</w:t>
      </w:r>
      <w:r>
        <w:rPr>
          <w:rFonts w:ascii="Times New Roman" w:cs="Times New Roman" w:eastAsia="Times New Roman" w:hAnsi="Times New Roman"/>
          <w:sz w:val="18"/>
          <w:szCs w:val="18"/>
          <w:color w:val="000000"/>
        </w:rPr>
        <w:t>” to the financial statements included in “</w:t>
      </w:r>
      <w:r>
        <w:rPr>
          <w:rFonts w:ascii="Times New Roman" w:cs="Times New Roman" w:eastAsia="Times New Roman" w:hAnsi="Times New Roman"/>
          <w:sz w:val="18"/>
          <w:szCs w:val="18"/>
          <w:u w:val="single" w:color="auto"/>
          <w:color w:val="0000FF"/>
        </w:rPr>
        <w:t>Item 8. Financial Statements and Supplementary Data</w:t>
      </w:r>
      <w:r>
        <w:rPr>
          <w:rFonts w:ascii="Times New Roman" w:cs="Times New Roman" w:eastAsia="Times New Roman" w:hAnsi="Times New Roman"/>
          <w:sz w:val="18"/>
          <w:szCs w:val="18"/>
          <w:color w:val="000000"/>
        </w:rPr>
        <w:t>” for additional</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information on impairment and restructuring charges,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 Marketing and Advertiser Relationships</w:t>
      </w:r>
    </w:p>
    <w:p>
      <w:pPr>
        <w:spacing w:after="0" w:line="229"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We pay traffic acquisition costs, which consist of payments made to partners who direct traffic to our Ask Media Group websites and who distribute our business-to-business customized browser-based applications, and fees paid to Apple and Google related to the distribution of apps and the facilitation of in-app purchases. We also pay to market and distribute our services on third-party distribution channels, such as Google and other search engines and social media websites such as Facebook. We also incur certain costs at Dotdash Meredith Print, including subscription acquisition costs, which represent commission payments to third-party agents to sell magazine subscriptions, and fulfillment and distribution costs, which represents costs to distribute magazines to subscribers and newsstands. In addition, some of our businesses manage affiliate programs, pursuant to which we pay commissions and fees to third parties based on revenue earned. These distribution channels might also offer their own services and products, as well as those of other third parties, which compete with those we offer.</w:t>
      </w:r>
    </w:p>
    <w:p>
      <w:pPr>
        <w:spacing w:after="0" w:line="192" w:lineRule="exact"/>
        <w:rPr>
          <w:sz w:val="20"/>
          <w:szCs w:val="20"/>
          <w:color w:val="auto"/>
        </w:rPr>
      </w:pPr>
    </w:p>
    <w:p>
      <w:pPr>
        <w:ind w:right="140" w:firstLine="405"/>
        <w:spacing w:after="0" w:line="266" w:lineRule="auto"/>
        <w:rPr>
          <w:sz w:val="20"/>
          <w:szCs w:val="20"/>
          <w:color w:val="auto"/>
        </w:rPr>
      </w:pPr>
      <w:r>
        <w:rPr>
          <w:rFonts w:ascii="Times New Roman" w:cs="Times New Roman" w:eastAsia="Times New Roman" w:hAnsi="Times New Roman"/>
          <w:sz w:val="18"/>
          <w:szCs w:val="18"/>
          <w:color w:val="auto"/>
        </w:rPr>
        <w:t>We market and offer our services and products to consumers through branded websites, allowing consumers to transact directly with us in a convenient manner. We have made, and expect to continue to make, substantial investments in online and offline advertising to build our brands and drive traffic to our websites and consumers and advertisers to our businesses.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Years Ended December 31, 2024, 2023 and 2022</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discussion should be read in conjunction with “</w:t>
      </w:r>
      <w:r>
        <w:rPr>
          <w:rFonts w:ascii="Times New Roman" w:cs="Times New Roman" w:eastAsia="Times New Roman" w:hAnsi="Times New Roman"/>
          <w:sz w:val="18"/>
          <w:szCs w:val="18"/>
          <w:u w:val="single" w:color="auto"/>
          <w:color w:val="0000FF"/>
        </w:rPr>
        <w:t>Item 8—Financial Statements and Supplementary Data</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20" w:type="dxa"/>
            <w:vAlign w:val="bottom"/>
            <w:gridSpan w:val="6"/>
          </w:tcPr>
          <w:p>
            <w:pPr>
              <w:ind w:left="4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3"/>
        </w:trPr>
        <w:tc>
          <w:tcPr>
            <w:tcW w:w="27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gridSpan w:val="4"/>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r>
      <w:tr>
        <w:trPr>
          <w:trHeight w:val="190"/>
        </w:trPr>
        <w:tc>
          <w:tcPr>
            <w:tcW w:w="2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4"/>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gridSpan w:val="2"/>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2024 Change</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2023 Change</w:t>
            </w:r>
          </w:p>
        </w:tc>
      </w:tr>
      <w:tr>
        <w:trPr>
          <w:trHeight w:val="196"/>
        </w:trPr>
        <w:tc>
          <w:tcPr>
            <w:tcW w:w="274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Borders>
              <w:top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89"/>
        </w:trPr>
        <w:tc>
          <w:tcPr>
            <w:tcW w:w="2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30"/>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Dotdash Meredith</w:t>
            </w:r>
          </w:p>
        </w:tc>
        <w:tc>
          <w:tcPr>
            <w:tcW w:w="3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2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Digital</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1,004,417</w:t>
            </w:r>
          </w:p>
        </w:tc>
        <w:tc>
          <w:tcPr>
            <w:tcW w:w="2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892,426</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931,482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111,991</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(39,056)</w:t>
            </w:r>
          </w:p>
        </w:tc>
        <w:tc>
          <w:tcPr>
            <w:tcW w:w="10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(4)%</w:t>
            </w:r>
          </w:p>
        </w:tc>
      </w:tr>
      <w:tr>
        <w:trPr>
          <w:trHeight w:val="229"/>
        </w:trPr>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Print</w:t>
            </w:r>
          </w:p>
        </w:tc>
        <w:tc>
          <w:tcPr>
            <w:tcW w:w="3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794,045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823,456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1,026,128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(29,411)</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(202,672)</w:t>
            </w:r>
          </w:p>
        </w:tc>
        <w:tc>
          <w:tcPr>
            <w:tcW w:w="10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(20)%</w:t>
            </w:r>
          </w:p>
        </w:tc>
      </w:tr>
      <w:tr>
        <w:trPr>
          <w:trHeight w:val="230"/>
        </w:trPr>
        <w:tc>
          <w:tcPr>
            <w:tcW w:w="2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(21,233)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(20,989)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(22,911)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1,922</w:t>
            </w:r>
          </w:p>
        </w:tc>
        <w:tc>
          <w:tcPr>
            <w:tcW w:w="1020" w:type="dxa"/>
            <w:vAlign w:val="bottom"/>
            <w:tcBorders>
              <w:bottom w:val="single" w:sz="8" w:color="CCEEFF"/>
            </w:tcBorders>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8%</w:t>
            </w:r>
          </w:p>
        </w:tc>
      </w:tr>
      <w:tr>
        <w:trPr>
          <w:trHeight w:val="223"/>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Dotdash Meredith</w:t>
            </w:r>
          </w:p>
        </w:tc>
        <w:tc>
          <w:tcPr>
            <w:tcW w:w="3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1,777,229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1,694,893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1,934,699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82,336</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(239,806)</w:t>
            </w:r>
          </w:p>
        </w:tc>
        <w:tc>
          <w:tcPr>
            <w:tcW w:w="10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(12)%</w:t>
            </w:r>
          </w:p>
        </w:tc>
      </w:tr>
      <w:tr>
        <w:trPr>
          <w:trHeight w:val="230"/>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Angi</w:t>
            </w: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Domestic</w:t>
            </w:r>
          </w:p>
        </w:tc>
        <w:tc>
          <w:tcPr>
            <w:tcW w:w="3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2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Ads and Leads</w:t>
            </w:r>
          </w:p>
        </w:tc>
        <w:tc>
          <w:tcPr>
            <w:tcW w:w="30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962,601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1,124,908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1,282,061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(162,307)</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(157,153)</w:t>
            </w:r>
          </w:p>
        </w:tc>
        <w:tc>
          <w:tcPr>
            <w:tcW w:w="10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(12)%</w:t>
            </w:r>
          </w:p>
        </w:tc>
      </w:tr>
      <w:tr>
        <w:trPr>
          <w:trHeight w:val="230"/>
        </w:trPr>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Services</w:t>
            </w: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93,521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118,033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381,256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(24,512)</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(263,223)</w:t>
            </w:r>
          </w:p>
        </w:tc>
        <w:tc>
          <w:tcPr>
            <w:tcW w:w="10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(69)%</w:t>
            </w:r>
          </w:p>
        </w:tc>
      </w:tr>
      <w:tr>
        <w:trPr>
          <w:trHeight w:val="223"/>
        </w:trPr>
        <w:tc>
          <w:tcPr>
            <w:tcW w:w="2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Domestic</w:t>
            </w:r>
          </w:p>
        </w:tc>
        <w:tc>
          <w:tcPr>
            <w:tcW w:w="30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1,056,122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1,242,941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1,663,317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(186,819)</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(420,376)</w:t>
            </w:r>
          </w:p>
        </w:tc>
        <w:tc>
          <w:tcPr>
            <w:tcW w:w="10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(25)%</w:t>
            </w:r>
          </w:p>
        </w:tc>
      </w:tr>
      <w:tr>
        <w:trPr>
          <w:trHeight w:val="230"/>
        </w:trPr>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International</w:t>
            </w: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128,990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115,807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101,038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13,183</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14,769</w:t>
            </w:r>
          </w:p>
        </w:tc>
        <w:tc>
          <w:tcPr>
            <w:tcW w:w="10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6"/>
              </w:rPr>
              <w:t>15%</w:t>
            </w:r>
          </w:p>
        </w:tc>
      </w:tr>
      <w:tr>
        <w:trPr>
          <w:trHeight w:val="223"/>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Angi</w:t>
            </w:r>
          </w:p>
        </w:tc>
        <w:tc>
          <w:tcPr>
            <w:tcW w:w="30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1,185,112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1,358,748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1,764,355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(173,636)</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(405,607)</w:t>
            </w:r>
          </w:p>
        </w:tc>
        <w:tc>
          <w:tcPr>
            <w:tcW w:w="10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(23)%</w:t>
            </w:r>
          </w:p>
        </w:tc>
      </w:tr>
      <w:tr>
        <w:trPr>
          <w:trHeight w:val="230"/>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Care.com</w:t>
            </w:r>
          </w:p>
        </w:tc>
        <w:tc>
          <w:tcPr>
            <w:tcW w:w="3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369,620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375,039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362,570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(5,419)</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12,469</w:t>
            </w:r>
          </w:p>
        </w:tc>
        <w:tc>
          <w:tcPr>
            <w:tcW w:w="10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3%</w:t>
            </w:r>
          </w:p>
        </w:tc>
      </w:tr>
      <w:tr>
        <w:trPr>
          <w:trHeight w:val="229"/>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Search</w:t>
            </w:r>
          </w:p>
        </w:tc>
        <w:tc>
          <w:tcPr>
            <w:tcW w:w="30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387,699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629,038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731,431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(241,339)</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(102,393)</w:t>
            </w:r>
          </w:p>
        </w:tc>
        <w:tc>
          <w:tcPr>
            <w:tcW w:w="10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(14)%</w:t>
            </w:r>
          </w:p>
        </w:tc>
      </w:tr>
      <w:tr>
        <w:trPr>
          <w:trHeight w:val="230"/>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Emerging &amp; Other</w:t>
            </w:r>
          </w:p>
        </w:tc>
        <w:tc>
          <w:tcPr>
            <w:tcW w:w="3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89,028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320,018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460,895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(230,990)</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(140,877)</w:t>
            </w:r>
          </w:p>
        </w:tc>
        <w:tc>
          <w:tcPr>
            <w:tcW w:w="10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(31)%</w:t>
            </w:r>
          </w:p>
        </w:tc>
      </w:tr>
      <w:tr>
        <w:trPr>
          <w:trHeight w:val="230"/>
        </w:trPr>
        <w:tc>
          <w:tcPr>
            <w:tcW w:w="2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(1,455)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(12,501)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(18,670)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11,046</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6,169</w:t>
            </w:r>
          </w:p>
        </w:tc>
        <w:tc>
          <w:tcPr>
            <w:tcW w:w="1020" w:type="dxa"/>
            <w:vAlign w:val="bottom"/>
            <w:tcBorders>
              <w:bottom w:val="single" w:sz="8" w:color="CCEEFF"/>
            </w:tcBorders>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6"/>
              </w:rPr>
              <w:t>33%</w:t>
            </w:r>
          </w:p>
        </w:tc>
      </w:tr>
      <w:tr>
        <w:trPr>
          <w:trHeight w:val="248"/>
        </w:trPr>
        <w:tc>
          <w:tcPr>
            <w:tcW w:w="2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3,807,233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4,365,235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5,235,280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(558,002)</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(870,045)</w:t>
            </w:r>
          </w:p>
        </w:tc>
        <w:tc>
          <w:tcPr>
            <w:tcW w:w="10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(17)%</w:t>
            </w: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gridSpan w:val="2"/>
          </w:tcPr>
          <w:p>
            <w:pPr>
              <w:spacing w:after="0" w:line="20" w:lineRule="exact"/>
              <w:rPr>
                <w:sz w:val="1"/>
                <w:szCs w:val="1"/>
                <w:color w:val="auto"/>
              </w:rPr>
            </w:pPr>
          </w:p>
        </w:tc>
        <w:tc>
          <w:tcPr>
            <w:tcW w:w="1180" w:type="dxa"/>
            <w:vAlign w:val="bottom"/>
            <w:tcBorders>
              <w:top w:val="single" w:sz="8" w:color="CCEEFF"/>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r>
      <w:tr>
        <w:trPr>
          <w:trHeight w:val="734"/>
        </w:trPr>
        <w:tc>
          <w:tcPr>
            <w:tcW w:w="2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3"/>
        </w:trPr>
        <w:tc>
          <w:tcPr>
            <w:tcW w:w="2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gridSpan w:val="4"/>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5"/>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5"/>
          </w:tcPr>
          <w:p>
            <w:pPr>
              <w:spacing w:after="0"/>
              <w:rPr>
                <w:sz w:val="2"/>
                <w:szCs w:val="2"/>
                <w:color w:val="auto"/>
              </w:rPr>
            </w:pPr>
          </w:p>
        </w:tc>
      </w:tr>
      <w:tr>
        <w:trPr>
          <w:trHeight w:val="190"/>
        </w:trPr>
        <w:tc>
          <w:tcPr>
            <w:tcW w:w="2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gridSpan w:val="3"/>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6"/>
                <w:szCs w:val="16"/>
                <w:color w:val="auto"/>
              </w:rPr>
            </w:pPr>
          </w:p>
        </w:tc>
        <w:tc>
          <w:tcPr>
            <w:tcW w:w="8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rPr>
              <w:t>2024 Change</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2023 Change</w:t>
            </w:r>
          </w:p>
        </w:tc>
      </w:tr>
      <w:tr>
        <w:trPr>
          <w:trHeight w:val="196"/>
        </w:trPr>
        <w:tc>
          <w:tcPr>
            <w:tcW w:w="2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20" w:type="dxa"/>
            <w:vAlign w:val="bottom"/>
            <w:tcBorders>
              <w:top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6"/>
        </w:trPr>
        <w:tc>
          <w:tcPr>
            <w:tcW w:w="2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metrics:</w:t>
            </w:r>
          </w:p>
        </w:tc>
        <w:tc>
          <w:tcPr>
            <w:tcW w:w="3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r>
      <w:tr>
        <w:trPr>
          <w:trHeight w:val="230"/>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Dotdash Meredith</w:t>
            </w: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Digital</w:t>
            </w:r>
          </w:p>
        </w:tc>
        <w:tc>
          <w:tcPr>
            <w:tcW w:w="3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2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Sessions (in millions)</w:t>
            </w: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10,664</w:t>
            </w:r>
          </w:p>
        </w:tc>
        <w:tc>
          <w:tcPr>
            <w:tcW w:w="11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10,813</w:t>
            </w: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11,947</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(1,134)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2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Core Sessions (in millions)</w:t>
            </w:r>
          </w:p>
        </w:tc>
        <w:tc>
          <w:tcPr>
            <w:tcW w:w="3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9,062</w:t>
            </w:r>
          </w:p>
        </w:tc>
        <w:tc>
          <w:tcPr>
            <w:tcW w:w="11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8,370</w:t>
            </w:r>
          </w:p>
        </w:tc>
        <w:tc>
          <w:tcPr>
            <w:tcW w:w="10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8,186</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8 %</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57"/>
        </w:trPr>
        <w:tc>
          <w:tcPr>
            <w:tcW w:w="27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29"/>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Angi</w:t>
            </w:r>
          </w:p>
        </w:tc>
        <w:tc>
          <w:tcPr>
            <w:tcW w:w="3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2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Service Requests (in thousands)</w:t>
            </w: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17,184</w:t>
            </w:r>
          </w:p>
        </w:tc>
        <w:tc>
          <w:tcPr>
            <w:tcW w:w="11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23,255</w:t>
            </w: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29,459</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(6,071)</w:t>
            </w:r>
          </w:p>
        </w:tc>
        <w:tc>
          <w:tcPr>
            <w:tcW w:w="10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(6,204)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3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Monetized Transactions (in thousands)</w:t>
            </w:r>
          </w:p>
        </w:tc>
        <w:tc>
          <w:tcPr>
            <w:tcW w:w="5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24,381</w:t>
            </w:r>
          </w:p>
        </w:tc>
        <w:tc>
          <w:tcPr>
            <w:tcW w:w="11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27,111</w:t>
            </w:r>
          </w:p>
        </w:tc>
        <w:tc>
          <w:tcPr>
            <w:tcW w:w="10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28,938</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(1,827)</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4"/>
        </w:trPr>
        <w:tc>
          <w:tcPr>
            <w:tcW w:w="2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Transacting Pros (in thousands)</w:t>
            </w: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9"/>
              </w:rPr>
              <w:t>(24)</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r>
    </w:tbl>
    <w:p>
      <w:pPr>
        <w:spacing w:after="0" w:line="16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For the year ended December 31, 2024 compared to the year ended December 31, 2023</w:t>
      </w:r>
    </w:p>
    <w:p>
      <w:pPr>
        <w:spacing w:after="0" w:line="227" w:lineRule="exact"/>
        <w:rPr>
          <w:sz w:val="20"/>
          <w:szCs w:val="20"/>
          <w:color w:val="auto"/>
        </w:rPr>
      </w:pPr>
    </w:p>
    <w:p>
      <w:pPr>
        <w:ind w:left="660" w:right="20" w:hanging="247"/>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Dotdash Meredith revenue increased 5% to $1.8 billion due to an increase of $112.0 million, or 13%, from Digital, partially offset by a decrease of $29.4 million, or 4%, from Print.</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51" w:name="page52"/>
    <w:bookmarkEnd w:id="51"/>
    <w:p>
      <w:pPr>
        <w:ind w:left="887" w:right="60" w:hanging="239"/>
        <w:spacing w:after="0" w:line="254" w:lineRule="auto"/>
        <w:tabs>
          <w:tab w:leader="none" w:pos="883"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Digital increase was due primarily to increases of $82.9 million, or 15%, in Advertising Revenue, $16.2 million, or 16%, in Licensing and Other Revenue and $12.8 million, or 6%, in Performance Marketing Revenue. The increase in Advertising Revenue was driven primarily by an increase in premium advertising sold through the Dotdash Meredith sales team in the Technology, Home/Consumer Packaged Goods and Pharmaceuticals categories, as well as higher programmatic revenue as a result of an increase in programmatic rates and an 8% increase in Core Sessions. The increase in Licensing and Other Revenue was due primarily to the addition of the OpenAI partnership, which began in May 2024, and improved performance of content syndication partners including Apple News+, partially offset by a decrease in brand licensing revenue due to lower royalties. The increase in Performance Marketing Revenue was due primarily to an increase in affiliate commerce commission revenue, partially offset by a decrease in Performance Marketing revenue in the Finance and Food and Beverage categories.</w:t>
      </w:r>
    </w:p>
    <w:p>
      <w:pPr>
        <w:spacing w:after="0" w:line="188" w:lineRule="exact"/>
        <w:rPr>
          <w:rFonts w:ascii="Times New Roman" w:cs="Times New Roman" w:eastAsia="Times New Roman" w:hAnsi="Times New Roman"/>
          <w:sz w:val="18"/>
          <w:szCs w:val="18"/>
          <w:color w:val="auto"/>
        </w:rPr>
      </w:pPr>
    </w:p>
    <w:p>
      <w:pPr>
        <w:ind w:left="887" w:right="40" w:hanging="239"/>
        <w:spacing w:after="0" w:line="256" w:lineRule="auto"/>
        <w:tabs>
          <w:tab w:leader="none" w:pos="883"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Print decrease was due primarily to decreases of $28.3 million, or 14%, in advertising revenue, $15.2 million, or 13%, in newsstand revenue and $10.3 million, or 23%, in performance marketing revenue, partially offset by an increase of $26.7 million, or 21%, in project and other revenue. The decreases in advertising revenue, newsstand revenue and performance marketing revenue are all due, in part, to a reduction in the number of issues sold in the current year compared to the prior year and the ongoing migration of audience from print to digital platforms. The increase in project and other revenue was due primarily to higher revenue from a legacy agency business due to political advertising spend on third-party publisher platforms.</w:t>
      </w:r>
    </w:p>
    <w:p>
      <w:pPr>
        <w:spacing w:after="0" w:line="187" w:lineRule="exact"/>
        <w:rPr>
          <w:rFonts w:ascii="Times New Roman" w:cs="Times New Roman" w:eastAsia="Times New Roman" w:hAnsi="Times New Roman"/>
          <w:sz w:val="18"/>
          <w:szCs w:val="18"/>
          <w:color w:val="auto"/>
        </w:rPr>
      </w:pPr>
    </w:p>
    <w:p>
      <w:pPr>
        <w:ind w:left="247" w:right="120" w:hanging="247"/>
        <w:spacing w:after="0" w:line="282" w:lineRule="auto"/>
        <w:tabs>
          <w:tab w:leader="none" w:pos="24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Angi revenue decreased 13% to $1.2 billion driven by decreases of $162.3 million, or 14%, from Ads and Leads and $24.5 million, or 21%, from Services, partially offset by an increase of $13.2 million, or 11% from International.</w:t>
      </w:r>
    </w:p>
    <w:p>
      <w:pPr>
        <w:spacing w:after="0" w:line="161" w:lineRule="exact"/>
        <w:rPr>
          <w:rFonts w:ascii="Times New Roman" w:cs="Times New Roman" w:eastAsia="Times New Roman" w:hAnsi="Times New Roman"/>
          <w:sz w:val="18"/>
          <w:szCs w:val="18"/>
          <w:color w:val="auto"/>
        </w:rPr>
      </w:pPr>
    </w:p>
    <w:p>
      <w:pPr>
        <w:ind w:left="887" w:hanging="239"/>
        <w:spacing w:after="0" w:line="256" w:lineRule="auto"/>
        <w:tabs>
          <w:tab w:leader="none" w:pos="883"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Ads and Leads decrease was due primarily to decreases of $174.5 million, or 22%, in consumer connection revenue and $9.2 million, or 18%, in membership subscription revenue, partially offset by an increase of $21.5 million, or 7%, in advertising revenue. The decrease in consumer connection revenue was driven by ongoing user-experience enhancements as well as lower sales and marketing spend, resulting in both lower Service Requests and lower acquisition of new professionals. The decrease in membership subscription revenue was due primarily to a decrease in professionals in the Angi network. The increase in advertising revenue was primarily due to an increase in advertising sold through Angi's sales force.</w:t>
      </w:r>
    </w:p>
    <w:p>
      <w:pPr>
        <w:spacing w:after="0" w:line="187" w:lineRule="exact"/>
        <w:rPr>
          <w:rFonts w:ascii="Times New Roman" w:cs="Times New Roman" w:eastAsia="Times New Roman" w:hAnsi="Times New Roman"/>
          <w:sz w:val="18"/>
          <w:szCs w:val="18"/>
          <w:color w:val="auto"/>
        </w:rPr>
      </w:pPr>
    </w:p>
    <w:p>
      <w:pPr>
        <w:ind w:left="887" w:right="60" w:hanging="239"/>
        <w:spacing w:after="0" w:line="261" w:lineRule="auto"/>
        <w:tabs>
          <w:tab w:leader="none" w:pos="883"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Services decrease was due primarily to fewer Service Requests as a result of certain efforts described in Ads and Leads above. In addition, the decrease in revenue reflects the residual impact from contracts entered into prior to January 1, 2023 and recognized as gross revenue in the first quarter of 2023. Effective January 1, 2023, Angi modified the Services terms and conditions resulting in net revenue reporting.</w:t>
      </w:r>
    </w:p>
    <w:p>
      <w:pPr>
        <w:spacing w:after="0" w:line="179" w:lineRule="exact"/>
        <w:rPr>
          <w:rFonts w:ascii="Times New Roman" w:cs="Times New Roman" w:eastAsia="Times New Roman" w:hAnsi="Times New Roman"/>
          <w:sz w:val="18"/>
          <w:szCs w:val="18"/>
          <w:color w:val="auto"/>
        </w:rPr>
      </w:pPr>
    </w:p>
    <w:p>
      <w:pPr>
        <w:ind w:left="887" w:hanging="239"/>
        <w:spacing w:after="0"/>
        <w:tabs>
          <w:tab w:leader="none" w:pos="887"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International increase was driven by a larger professional network and higher revenue per professional.</w:t>
      </w:r>
    </w:p>
    <w:p>
      <w:pPr>
        <w:spacing w:after="0" w:line="225" w:lineRule="exact"/>
        <w:rPr>
          <w:rFonts w:ascii="Times New Roman" w:cs="Times New Roman" w:eastAsia="Times New Roman" w:hAnsi="Times New Roman"/>
          <w:sz w:val="18"/>
          <w:szCs w:val="18"/>
          <w:color w:val="auto"/>
        </w:rPr>
      </w:pPr>
    </w:p>
    <w:p>
      <w:pPr>
        <w:ind w:left="247" w:right="60" w:hanging="247"/>
        <w:spacing w:after="0" w:line="266" w:lineRule="auto"/>
        <w:tabs>
          <w:tab w:leader="none" w:pos="24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Care.com revenue decreased 1% to $369.6 million due primarily to a decrease of $19.2 million, or 9%, in consumer revenue, partially offset by an increase of $13.8 million, or 8%, in enterprise revenue. The decrease in consumer revenue was driven by lower subscriptions on the Care.com platform. The increase in enterprise revenue was primarily due to an increase in backup care usage.</w:t>
      </w:r>
    </w:p>
    <w:p>
      <w:pPr>
        <w:spacing w:after="0" w:line="175" w:lineRule="exact"/>
        <w:rPr>
          <w:rFonts w:ascii="Times New Roman" w:cs="Times New Roman" w:eastAsia="Times New Roman" w:hAnsi="Times New Roman"/>
          <w:sz w:val="18"/>
          <w:szCs w:val="18"/>
          <w:color w:val="auto"/>
        </w:rPr>
      </w:pPr>
    </w:p>
    <w:p>
      <w:pPr>
        <w:ind w:left="247" w:right="180" w:hanging="247"/>
        <w:spacing w:after="0" w:line="282" w:lineRule="auto"/>
        <w:tabs>
          <w:tab w:leader="none" w:pos="24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Search revenue decreased 38% to $387.7 million due primarily to a decrease of $230.2 million, or 42%, from Ask Media Group resulting from a reduction in marketing from affiliate partners that drove fewer visitors to our ad supported search and content websites.</w:t>
      </w:r>
    </w:p>
    <w:p>
      <w:pPr>
        <w:spacing w:after="0" w:line="161" w:lineRule="exact"/>
        <w:rPr>
          <w:rFonts w:ascii="Times New Roman" w:cs="Times New Roman" w:eastAsia="Times New Roman" w:hAnsi="Times New Roman"/>
          <w:sz w:val="18"/>
          <w:szCs w:val="18"/>
          <w:color w:val="auto"/>
        </w:rPr>
      </w:pPr>
    </w:p>
    <w:p>
      <w:pPr>
        <w:ind w:left="247" w:right="200" w:hanging="247"/>
        <w:spacing w:after="0" w:line="261" w:lineRule="auto"/>
        <w:tabs>
          <w:tab w:leader="none" w:pos="24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Emerging &amp; Other revenue decreased 72% to $89.0 million due primarily to a decrease of $137.8 million in revenue ($17.8 million in 2024 compared to $155.7 million in 2023) from Mosaic Group, the assets of which were sold on February 15, 2024, the inclusion of $90.6 million in revenue from Roofing in the prior year period, which was sold on November 1, 2023 and a decrease of $8.0 million in revenue from IAC Films, partially offset by an increase of $6.0 million in revenue from The Daily Beast.</w:t>
      </w:r>
    </w:p>
    <w:p>
      <w:pPr>
        <w:spacing w:after="0" w:line="178"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i w:val="1"/>
          <w:iCs w:val="1"/>
          <w:color w:val="auto"/>
        </w:rPr>
        <w:t>For the year ended December 31, 2023 compared to the year ended December 31, 2022</w:t>
      </w:r>
    </w:p>
    <w:p>
      <w:pPr>
        <w:spacing w:after="0" w:line="227" w:lineRule="exact"/>
        <w:rPr>
          <w:sz w:val="20"/>
          <w:szCs w:val="20"/>
          <w:color w:val="auto"/>
        </w:rPr>
      </w:pPr>
    </w:p>
    <w:p>
      <w:pPr>
        <w:ind w:left="247" w:right="240" w:hanging="247"/>
        <w:spacing w:after="0" w:line="282" w:lineRule="auto"/>
        <w:tabs>
          <w:tab w:leader="none" w:pos="242" w:val="left"/>
        </w:tabs>
        <w:numPr>
          <w:ilvl w:val="0"/>
          <w:numId w:val="3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Dotdash Meredith revenue decreased 12% to $1.7 billion due primarily to decreases of $202.7 million, or 20%, from Print and $39.1 million, or 4%, from Digital.</w:t>
      </w:r>
    </w:p>
    <w:p>
      <w:pPr>
        <w:spacing w:after="0" w:line="200" w:lineRule="exact"/>
        <w:rPr>
          <w:sz w:val="20"/>
          <w:szCs w:val="20"/>
          <w:color w:val="auto"/>
        </w:rPr>
      </w:pPr>
    </w:p>
    <w:p>
      <w:pPr>
        <w:spacing w:after="0" w:line="299" w:lineRule="exact"/>
        <w:rPr>
          <w:sz w:val="20"/>
          <w:szCs w:val="20"/>
          <w:color w:val="auto"/>
        </w:rPr>
      </w:pPr>
    </w:p>
    <w:p>
      <w:pPr>
        <w:jc w:val="center"/>
        <w:ind w:right="393"/>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-269240</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7"/>
          </w:cols>
          <w:pgMar w:left="733" w:top="1107" w:right="339" w:bottom="1440" w:gutter="0" w:footer="0" w:header="0"/>
        </w:sectPr>
      </w:pPr>
    </w:p>
    <w:bookmarkStart w:id="52" w:name="page53"/>
    <w:bookmarkEnd w:id="52"/>
    <w:p>
      <w:pPr>
        <w:ind w:left="887" w:right="280" w:hanging="239"/>
        <w:spacing w:after="0" w:line="282" w:lineRule="auto"/>
        <w:tabs>
          <w:tab w:leader="none" w:pos="883"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 from Print was due to the planned reduction in circulation of certain publications and the discontinuation of others in the first quarter of 2022.</w:t>
      </w:r>
    </w:p>
    <w:p>
      <w:pPr>
        <w:spacing w:after="0" w:line="161" w:lineRule="exact"/>
        <w:rPr>
          <w:rFonts w:ascii="Times New Roman" w:cs="Times New Roman" w:eastAsia="Times New Roman" w:hAnsi="Times New Roman"/>
          <w:sz w:val="18"/>
          <w:szCs w:val="18"/>
          <w:color w:val="auto"/>
        </w:rPr>
      </w:pPr>
    </w:p>
    <w:p>
      <w:pPr>
        <w:ind w:left="887" w:right="20" w:hanging="239"/>
        <w:spacing w:after="0" w:line="254" w:lineRule="auto"/>
        <w:tabs>
          <w:tab w:leader="none" w:pos="883"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 from Digital was due primarily to decreases of $60.9 million and $10.8 million, or 10% each, in Advertising Revenue and Licensing and Other Revenue, respectively, partially offset by an increase of $32.6 million, or 16% in Performance Marketing Revenue. The decrease in Advertising Revenue resulted primarily from lower programmatic revenue as a result of a 9% decline in Total Sessions and declines in premium advertising sold through the Dotdash Meredith sales team. Despite the increase in Core Sessions, Total Sessions was impacted by traffic declines in the first quarter of 2023 due to COVID-19 supported traffic levels in early 2022 and traffic declines in the second and third quarters of 2023 driven primarily by the Entertainment category and certain partner sites. The decrease in Licensing and Other Revenue was due primarily to lower royalties earned from retail partners. The increase in Performance Marketing Revenue was due primarily to an increase in affiliate commerce commission revenue, partially offset by a decrease in Performance Marketing revenue in the Finance and Health categories.</w:t>
      </w:r>
    </w:p>
    <w:p>
      <w:pPr>
        <w:spacing w:after="0" w:line="188" w:lineRule="exact"/>
        <w:rPr>
          <w:rFonts w:ascii="Times New Roman" w:cs="Times New Roman" w:eastAsia="Times New Roman" w:hAnsi="Times New Roman"/>
          <w:sz w:val="18"/>
          <w:szCs w:val="18"/>
          <w:color w:val="auto"/>
        </w:rPr>
      </w:pPr>
    </w:p>
    <w:p>
      <w:pPr>
        <w:ind w:left="247" w:right="160" w:hanging="247"/>
        <w:spacing w:after="0" w:line="282" w:lineRule="auto"/>
        <w:tabs>
          <w:tab w:leader="none" w:pos="24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Angi revenue decreased 23% to $1.4 billion driven by decreases of $263.2 million, or 69%, from Services and $157.2 million, or 12%, from Ads and Leads, partially offset by an increase of $14.8 million, or 15%, from International.</w:t>
      </w:r>
    </w:p>
    <w:p>
      <w:pPr>
        <w:spacing w:after="0" w:line="161" w:lineRule="exact"/>
        <w:rPr>
          <w:rFonts w:ascii="Times New Roman" w:cs="Times New Roman" w:eastAsia="Times New Roman" w:hAnsi="Times New Roman"/>
          <w:sz w:val="18"/>
          <w:szCs w:val="18"/>
          <w:color w:val="auto"/>
        </w:rPr>
      </w:pPr>
    </w:p>
    <w:p>
      <w:pPr>
        <w:ind w:left="887" w:right="100" w:hanging="239"/>
        <w:spacing w:after="0" w:line="266" w:lineRule="auto"/>
        <w:tabs>
          <w:tab w:leader="none" w:pos="883"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Services decrease was due primarily to the change to net revenue reporting described above under “Sources of Revenue - Angi” and a decrease of $92.4 million due primarily to the continued shift away from complex and less profitable offerings, and lower Service Requests as a result of certain efforts described in Ads and Leads below.</w:t>
      </w:r>
    </w:p>
    <w:p>
      <w:pPr>
        <w:spacing w:after="0" w:line="175" w:lineRule="exact"/>
        <w:rPr>
          <w:rFonts w:ascii="Times New Roman" w:cs="Times New Roman" w:eastAsia="Times New Roman" w:hAnsi="Times New Roman"/>
          <w:sz w:val="18"/>
          <w:szCs w:val="18"/>
          <w:color w:val="auto"/>
        </w:rPr>
      </w:pPr>
    </w:p>
    <w:p>
      <w:pPr>
        <w:ind w:left="887" w:hanging="239"/>
        <w:spacing w:after="0" w:line="255" w:lineRule="auto"/>
        <w:tabs>
          <w:tab w:leader="none" w:pos="883"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Ads and Leads decrease was due primarily to decreases of $173.6 million, or 18%, in consumer connection revenue and $8.1 million, or 13%, in membership subscription revenue, partially offset by an increase of $25.3 million, or 10%, in advertising revenue. The decrease in consumer connection revenue was due primarily to declines in Monetized Transactions as a result of an effort to rationalize sales to professionals that are unprofitable as well as efforts to increase lead quality, including changes to certain demand channels, to enhance the user experience for both homeowners and professionals. The decrease in membership subscription revenue was due primarily to a decline in professionals in the Angi network. The increase in advertising revenue was due primarily to continued growth in sales and improved retention.</w:t>
      </w:r>
    </w:p>
    <w:p>
      <w:pPr>
        <w:spacing w:after="0" w:line="188" w:lineRule="exact"/>
        <w:rPr>
          <w:rFonts w:ascii="Times New Roman" w:cs="Times New Roman" w:eastAsia="Times New Roman" w:hAnsi="Times New Roman"/>
          <w:sz w:val="18"/>
          <w:szCs w:val="18"/>
          <w:color w:val="auto"/>
        </w:rPr>
      </w:pPr>
    </w:p>
    <w:p>
      <w:pPr>
        <w:ind w:left="887" w:hanging="239"/>
        <w:spacing w:after="0"/>
        <w:tabs>
          <w:tab w:leader="none" w:pos="887"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International increase was driven by a larger professional network and higher revenue per professional.</w:t>
      </w:r>
    </w:p>
    <w:p>
      <w:pPr>
        <w:spacing w:after="0" w:line="225" w:lineRule="exact"/>
        <w:rPr>
          <w:rFonts w:ascii="Times New Roman" w:cs="Times New Roman" w:eastAsia="Times New Roman" w:hAnsi="Times New Roman"/>
          <w:sz w:val="18"/>
          <w:szCs w:val="18"/>
          <w:color w:val="auto"/>
        </w:rPr>
      </w:pPr>
    </w:p>
    <w:p>
      <w:pPr>
        <w:ind w:left="247" w:right="60" w:hanging="247"/>
        <w:spacing w:after="0" w:line="266" w:lineRule="auto"/>
        <w:tabs>
          <w:tab w:leader="none" w:pos="24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Care.com revenue increased 3% to $375.0 million due to an increase of $19.7 million, or 14%, in enterprise revenue, partially offset by a decrease of $7.2 million, or 3%, in consumer revenue. The increase in enterprise revenue was primarily due to an increase in backup care usage. The decrease in consumer revenue was primarily due to lower subscriptions on the Care.com platform.</w:t>
      </w:r>
    </w:p>
    <w:p>
      <w:pPr>
        <w:spacing w:after="0" w:line="175" w:lineRule="exact"/>
        <w:rPr>
          <w:rFonts w:ascii="Times New Roman" w:cs="Times New Roman" w:eastAsia="Times New Roman" w:hAnsi="Times New Roman"/>
          <w:sz w:val="18"/>
          <w:szCs w:val="18"/>
          <w:color w:val="auto"/>
        </w:rPr>
      </w:pPr>
    </w:p>
    <w:p>
      <w:pPr>
        <w:ind w:left="247" w:right="260" w:hanging="247"/>
        <w:spacing w:after="0" w:line="261" w:lineRule="auto"/>
        <w:tabs>
          <w:tab w:leader="none" w:pos="24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Search revenue decreased 14% to $629.0 million due to decreases of $81.1 million, or 13%, from Ask Media Group and $21.3 million, or 21%, from Desktop. The decrease from Ask Media Group was due to a reduction in marketing by affiliate partners driving fewer visitors to ad supported search and content websites. The decrease from Desktop was due primarily to certain Google policy changes and the subsequent discontinuation of new products effective March 2021.</w:t>
      </w:r>
    </w:p>
    <w:p>
      <w:pPr>
        <w:spacing w:after="0" w:line="179" w:lineRule="exact"/>
        <w:rPr>
          <w:rFonts w:ascii="Times New Roman" w:cs="Times New Roman" w:eastAsia="Times New Roman" w:hAnsi="Times New Roman"/>
          <w:sz w:val="18"/>
          <w:szCs w:val="18"/>
          <w:color w:val="auto"/>
        </w:rPr>
      </w:pPr>
    </w:p>
    <w:p>
      <w:pPr>
        <w:ind w:left="247" w:right="200" w:hanging="247"/>
        <w:spacing w:after="0" w:line="266" w:lineRule="auto"/>
        <w:tabs>
          <w:tab w:leader="none" w:pos="24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Emerging &amp; Other revenue decreased 31% to $320.0 million due primarily to the inclusion of Bluecrew in the prior year period, which was sold on November 9, 2022, a decrease at Roofing due to a decline in projects and a strategic shift in operations to select markets prior to its sale on November 1, 2023, and decreases in revenue at Mosaic Group and IAC Films, partially offset by growth of 40% at Vivian Health.</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93"/>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-269240</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7"/>
          </w:cols>
          <w:pgMar w:left="733" w:top="110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(exclusive of depreciation shown separately below)</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20" w:type="dxa"/>
            <w:vAlign w:val="bottom"/>
            <w:gridSpan w:val="6"/>
          </w:tcPr>
          <w:p>
            <w:pPr>
              <w:jc w:val="center"/>
              <w:ind w:left="58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
        </w:trPr>
        <w:tc>
          <w:tcPr>
            <w:tcW w:w="26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gridSpan w:val="6"/>
          </w:tcPr>
          <w:p>
            <w:pPr>
              <w:spacing w:after="0"/>
              <w:rPr>
                <w:sz w:val="2"/>
                <w:szCs w:val="2"/>
                <w:color w:val="auto"/>
              </w:rPr>
            </w:pPr>
          </w:p>
        </w:tc>
        <w:tc>
          <w:tcPr>
            <w:tcW w:w="2160" w:type="dxa"/>
            <w:vAlign w:val="bottom"/>
            <w:tcBorders>
              <w:bottom w:val="single" w:sz="8" w:color="auto"/>
            </w:tcBorders>
            <w:gridSpan w:val="3"/>
          </w:tcPr>
          <w:p>
            <w:pPr>
              <w:spacing w:after="0"/>
              <w:rPr>
                <w:sz w:val="2"/>
                <w:szCs w:val="2"/>
                <w:color w:val="auto"/>
              </w:rPr>
            </w:pPr>
          </w:p>
        </w:tc>
      </w:tr>
      <w:tr>
        <w:trPr>
          <w:trHeight w:val="190"/>
        </w:trPr>
        <w:tc>
          <w:tcPr>
            <w:tcW w:w="2620" w:type="dxa"/>
            <w:vAlign w:val="bottom"/>
          </w:tcPr>
          <w:p>
            <w:pPr>
              <w:spacing w:after="0"/>
              <w:rPr>
                <w:sz w:val="16"/>
                <w:szCs w:val="16"/>
                <w:color w:val="auto"/>
              </w:rPr>
            </w:pPr>
          </w:p>
        </w:tc>
        <w:tc>
          <w:tcPr>
            <w:tcW w:w="116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40" w:type="dxa"/>
            <w:vAlign w:val="bottom"/>
            <w:gridSpan w:val="6"/>
          </w:tcPr>
          <w:p>
            <w:pPr>
              <w:jc w:val="right"/>
              <w:ind w:right="1080"/>
              <w:spacing w:after="0"/>
              <w:rPr>
                <w:sz w:val="20"/>
                <w:szCs w:val="20"/>
                <w:color w:val="auto"/>
              </w:rPr>
            </w:pPr>
            <w:r>
              <w:rPr>
                <w:rFonts w:ascii="Times New Roman" w:cs="Times New Roman" w:eastAsia="Times New Roman" w:hAnsi="Times New Roman"/>
                <w:sz w:val="14"/>
                <w:szCs w:val="14"/>
                <w:b w:val="1"/>
                <w:bCs w:val="1"/>
                <w:color w:val="auto"/>
              </w:rPr>
              <w:t>2024 Change</w:t>
            </w:r>
          </w:p>
        </w:tc>
        <w:tc>
          <w:tcPr>
            <w:tcW w:w="2160" w:type="dxa"/>
            <w:vAlign w:val="bottom"/>
            <w:gridSpan w:val="3"/>
          </w:tcPr>
          <w:p>
            <w:pPr>
              <w:jc w:val="right"/>
              <w:ind w:right="699"/>
              <w:spacing w:after="0"/>
              <w:rPr>
                <w:sz w:val="20"/>
                <w:szCs w:val="20"/>
                <w:color w:val="auto"/>
              </w:rPr>
            </w:pPr>
            <w:r>
              <w:rPr>
                <w:rFonts w:ascii="Times New Roman" w:cs="Times New Roman" w:eastAsia="Times New Roman" w:hAnsi="Times New Roman"/>
                <w:sz w:val="14"/>
                <w:szCs w:val="14"/>
                <w:b w:val="1"/>
                <w:bCs w:val="1"/>
                <w:color w:val="auto"/>
              </w:rPr>
              <w:t>2023 Change</w:t>
            </w:r>
          </w:p>
        </w:tc>
      </w:tr>
      <w:tr>
        <w:trPr>
          <w:trHeight w:val="196"/>
        </w:trPr>
        <w:tc>
          <w:tcPr>
            <w:tcW w:w="262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Borders>
              <w:top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89"/>
        </w:trPr>
        <w:tc>
          <w:tcPr>
            <w:tcW w:w="26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0" w:type="dxa"/>
            <w:vAlign w:val="bottom"/>
            <w:gridSpan w:val="4"/>
          </w:tcPr>
          <w:p>
            <w:pPr>
              <w:jc w:val="center"/>
              <w:ind w:left="781"/>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76"/>
        </w:trPr>
        <w:tc>
          <w:tcPr>
            <w:tcW w:w="26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Cost of revenue (exclusive of</w:t>
            </w: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84"/>
        </w:trPr>
        <w:tc>
          <w:tcPr>
            <w:tcW w:w="26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depreciation shown separately</w:t>
            </w: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34"/>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below)</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1,059,990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1,343,254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1,933,705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(283,264)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(590,451)</w:t>
            </w: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4"/>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a percentage of revenue</w:t>
            </w:r>
          </w:p>
        </w:tc>
        <w:tc>
          <w:tcPr>
            <w:tcW w:w="1160" w:type="dxa"/>
            <w:vAlign w:val="bottom"/>
          </w:tcPr>
          <w:p>
            <w:pPr>
              <w:jc w:val="right"/>
              <w:ind w:right="336"/>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336"/>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341"/>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r>
    </w:tbl>
    <w:p>
      <w:pPr>
        <w:spacing w:after="0" w:line="17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For the year ended December 31, 2024 compared to the year ended December 31, 2023</w:t>
      </w:r>
    </w:p>
    <w:p>
      <w:pPr>
        <w:spacing w:after="0" w:line="227"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Cost of revenue in 2024 decreased from 2023 due primarily to decreases of $168.5 million from Search, $102.6 million from Emerging &amp; Other and $5.0 million from Angi, partially offset by an increase of $5.2 million from Dotdash Meredith.</w:t>
      </w:r>
    </w:p>
    <w:p>
      <w:pPr>
        <w:spacing w:after="0" w:line="162" w:lineRule="exact"/>
        <w:rPr>
          <w:sz w:val="20"/>
          <w:szCs w:val="20"/>
          <w:color w:val="auto"/>
        </w:rPr>
      </w:pPr>
    </w:p>
    <w:p>
      <w:pPr>
        <w:ind w:left="660" w:right="680" w:hanging="247"/>
        <w:spacing w:after="0" w:line="282"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Search decrease was due primarily to a decrease in traffic acquisition costs of $166.1 million following a decrease in revenue and the proportion of revenue earned from affiliate partners who direct traffic to our websites.</w:t>
      </w:r>
    </w:p>
    <w:p>
      <w:pPr>
        <w:spacing w:after="0" w:line="161" w:lineRule="exact"/>
        <w:rPr>
          <w:rFonts w:ascii="Times New Roman" w:cs="Times New Roman" w:eastAsia="Times New Roman" w:hAnsi="Times New Roman"/>
          <w:sz w:val="18"/>
          <w:szCs w:val="18"/>
          <w:color w:val="auto"/>
        </w:rPr>
      </w:pPr>
    </w:p>
    <w:p>
      <w:pPr>
        <w:jc w:val="both"/>
        <w:ind w:left="660" w:right="140" w:hanging="247"/>
        <w:spacing w:after="0" w:line="312" w:lineRule="auto"/>
        <w:tabs>
          <w:tab w:leader="none" w:pos="655"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Emerging &amp; Other decrease was due primarily to the inclusion in the prior year period of $61.5 million in expense from Roofing, which was sold on November 1, 2023, and a decrease in expense of $34.4 million from Mosaic Group, the assets of which were sold on February 15, 2024.</w:t>
      </w:r>
    </w:p>
    <w:p>
      <w:pPr>
        <w:spacing w:after="0" w:line="139" w:lineRule="exact"/>
        <w:rPr>
          <w:rFonts w:ascii="Times New Roman" w:cs="Times New Roman" w:eastAsia="Times New Roman" w:hAnsi="Times New Roman"/>
          <w:sz w:val="17"/>
          <w:szCs w:val="17"/>
          <w:color w:val="auto"/>
        </w:rPr>
      </w:pPr>
    </w:p>
    <w:p>
      <w:pPr>
        <w:ind w:left="660" w:right="380" w:hanging="247"/>
        <w:spacing w:after="0" w:line="282"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Angi decrease was due primarily to a decrease of $9.3 million from Services, partially offset by an increase of $3.3 million from Ads and Leads.</w:t>
      </w:r>
    </w:p>
    <w:p>
      <w:pPr>
        <w:spacing w:after="0" w:line="161" w:lineRule="exact"/>
        <w:rPr>
          <w:rFonts w:ascii="Times New Roman" w:cs="Times New Roman" w:eastAsia="Times New Roman" w:hAnsi="Times New Roman"/>
          <w:sz w:val="18"/>
          <w:szCs w:val="18"/>
          <w:color w:val="auto"/>
        </w:rPr>
      </w:pPr>
    </w:p>
    <w:p>
      <w:pPr>
        <w:ind w:left="1300" w:hanging="239"/>
        <w:spacing w:after="0" w:line="266" w:lineRule="auto"/>
        <w:tabs>
          <w:tab w:leader="none" w:pos="1296"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Services decrease was due primarily to decreases in payments to third-party professionals of $7.9 million primarily reflecting the residual impact from contracts entered into prior to January 1, 2023 and recognized as gross revenue in the first quarter of 2023 and credit card processing fees of $1.2 million.</w:t>
      </w:r>
    </w:p>
    <w:p>
      <w:pPr>
        <w:spacing w:after="0" w:line="175" w:lineRule="exact"/>
        <w:rPr>
          <w:rFonts w:ascii="Times New Roman" w:cs="Times New Roman" w:eastAsia="Times New Roman" w:hAnsi="Times New Roman"/>
          <w:sz w:val="18"/>
          <w:szCs w:val="18"/>
          <w:color w:val="auto"/>
        </w:rPr>
      </w:pPr>
    </w:p>
    <w:p>
      <w:pPr>
        <w:ind w:left="1300" w:right="340" w:hanging="239"/>
        <w:spacing w:after="0" w:line="282" w:lineRule="auto"/>
        <w:tabs>
          <w:tab w:leader="none" w:pos="1296"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Ads and Leads increase was due primarily to higher hosting fees of $6.2 million attributable, in part, to the migration of data to a third-party computing platform, partially offset by a decrease in credit card processing fees of $2.9 million.</w:t>
      </w:r>
    </w:p>
    <w:p>
      <w:pPr>
        <w:spacing w:after="0" w:line="161" w:lineRule="exact"/>
        <w:rPr>
          <w:rFonts w:ascii="Times New Roman" w:cs="Times New Roman" w:eastAsia="Times New Roman" w:hAnsi="Times New Roman"/>
          <w:sz w:val="18"/>
          <w:szCs w:val="18"/>
          <w:color w:val="auto"/>
        </w:rPr>
      </w:pPr>
    </w:p>
    <w:p>
      <w:pPr>
        <w:ind w:left="660" w:right="40" w:hanging="247"/>
        <w:spacing w:after="0" w:line="282"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Dotdash Meredith increase was due primarily to an increase of $31.7 million from Digital, partially offset by a decrease of $26.1 million from Print.</w:t>
      </w:r>
    </w:p>
    <w:p>
      <w:pPr>
        <w:spacing w:after="0" w:line="161" w:lineRule="exact"/>
        <w:rPr>
          <w:rFonts w:ascii="Times New Roman" w:cs="Times New Roman" w:eastAsia="Times New Roman" w:hAnsi="Times New Roman"/>
          <w:sz w:val="18"/>
          <w:szCs w:val="18"/>
          <w:color w:val="auto"/>
        </w:rPr>
      </w:pPr>
    </w:p>
    <w:p>
      <w:pPr>
        <w:ind w:left="1300" w:hanging="239"/>
        <w:spacing w:after="0" w:line="261" w:lineRule="auto"/>
        <w:tabs>
          <w:tab w:leader="none" w:pos="1296"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Digital increase was due primarily to increases of $19.7 million in compensation expense, $7.5 million in traffic acquisition costs and $2.7 million in content costs. The increase in compensation expense was due primarily to an increase in headcount. The increase in traffic acquisition costs was due primarily to a new contractual relationship to increase programmatic rates. The increase in content costs was due primarily to an investment in video production.</w:t>
      </w:r>
    </w:p>
    <w:p>
      <w:pPr>
        <w:spacing w:after="0" w:line="179" w:lineRule="exact"/>
        <w:rPr>
          <w:rFonts w:ascii="Times New Roman" w:cs="Times New Roman" w:eastAsia="Times New Roman" w:hAnsi="Times New Roman"/>
          <w:sz w:val="18"/>
          <w:szCs w:val="18"/>
          <w:color w:val="auto"/>
        </w:rPr>
      </w:pPr>
    </w:p>
    <w:p>
      <w:pPr>
        <w:ind w:left="1300" w:right="280" w:hanging="239"/>
        <w:spacing w:after="0" w:line="256" w:lineRule="auto"/>
        <w:tabs>
          <w:tab w:leader="none" w:pos="1296"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Print decrease was due primarily to a decrease of $48.3 million in production and distribution costs (postage, printing, paper and content) resulting from a planned reduction in the number of printed copies of certain publications and decreases in paper costs and freight surcharges, partially offset by increases of $17.9 million in third-party costs in connection with certain project-related revenue, including audience targeted advertising and $3.0 million in compensation expense due, in part, to $2.1 million in severance expense incurred in the fourth quarter of 2024 primarily related to headcount reductions intended to better align resources with strategic initiatives.</w:t>
      </w:r>
    </w:p>
    <w:p>
      <w:pPr>
        <w:spacing w:after="0" w:line="18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For the year ended December 31, 2023 compared to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54" w:name="page55"/>
    <w:bookmarkEnd w:id="54"/>
    <w:p>
      <w:pPr>
        <w:ind w:right="40" w:firstLine="405"/>
        <w:spacing w:after="0" w:line="282" w:lineRule="auto"/>
        <w:rPr>
          <w:sz w:val="20"/>
          <w:szCs w:val="20"/>
          <w:color w:val="auto"/>
        </w:rPr>
      </w:pPr>
      <w:r>
        <w:rPr>
          <w:rFonts w:ascii="Times New Roman" w:cs="Times New Roman" w:eastAsia="Times New Roman" w:hAnsi="Times New Roman"/>
          <w:sz w:val="18"/>
          <w:szCs w:val="18"/>
          <w:color w:val="auto"/>
        </w:rPr>
        <w:t>Cost of revenue in 2023 decreased from 2022 due primarily to decreases of $274.8 million from Angi, $178.8 million from Dotdash Meredith, $110.4 million from Emerging &amp; Other and $29.2 million from Search.</w:t>
      </w:r>
    </w:p>
    <w:p>
      <w:pPr>
        <w:spacing w:after="0" w:line="162" w:lineRule="exact"/>
        <w:rPr>
          <w:sz w:val="20"/>
          <w:szCs w:val="20"/>
          <w:color w:val="auto"/>
        </w:rPr>
      </w:pPr>
    </w:p>
    <w:p>
      <w:pPr>
        <w:ind w:left="660" w:right="280" w:hanging="247"/>
        <w:spacing w:after="0" w:line="289" w:lineRule="auto"/>
        <w:tabs>
          <w:tab w:leader="none" w:pos="655"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Angi decrease was due to a decrease of $274.8 million from Services due primarily to a $248.8 million decrease in payments to third-party professional service providers due primarily to the change to net revenue reporting effective January 1, 2023, described above. Additionally, payments to third-party professional service providers decreased as a result of the shift away from complex and less profitable offerings.</w:t>
      </w:r>
    </w:p>
    <w:p>
      <w:pPr>
        <w:spacing w:after="0" w:line="157" w:lineRule="exact"/>
        <w:rPr>
          <w:rFonts w:ascii="Times New Roman" w:cs="Times New Roman" w:eastAsia="Times New Roman" w:hAnsi="Times New Roman"/>
          <w:sz w:val="17"/>
          <w:szCs w:val="17"/>
          <w:color w:val="auto"/>
        </w:rPr>
      </w:pPr>
    </w:p>
    <w:p>
      <w:pPr>
        <w:ind w:left="660" w:hanging="247"/>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Dotdash Meredith decrease was due primarily to decreases of $112.2 million from Print and $67.0 million from Digital.</w:t>
      </w:r>
    </w:p>
    <w:p>
      <w:pPr>
        <w:spacing w:after="0" w:line="225" w:lineRule="exact"/>
        <w:rPr>
          <w:rFonts w:ascii="Times New Roman" w:cs="Times New Roman" w:eastAsia="Times New Roman" w:hAnsi="Times New Roman"/>
          <w:sz w:val="18"/>
          <w:szCs w:val="18"/>
          <w:color w:val="auto"/>
        </w:rPr>
      </w:pPr>
    </w:p>
    <w:p>
      <w:pPr>
        <w:ind w:left="1300" w:right="20" w:hanging="239"/>
        <w:spacing w:after="0" w:line="258" w:lineRule="auto"/>
        <w:tabs>
          <w:tab w:leader="none" w:pos="1296"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 from Print was due primarily to decreases of $69.5 million in production and distribution costs (postage, paper, printing and content) due to the discontinuation of several publications in the first quarter of 2022 and the planned reduction in circulation of others. Print was further impacted by decreases of $24.2 million in compensation expense due to the voluntary retirement program in the first quarter of 2022 and the reduction in force described above under “Dotdash Meredith Restructuring and Other Charges” and $13.4 million in third-party advertising campaign fulfillment costs due to lower project-related revenue.</w:t>
      </w:r>
    </w:p>
    <w:p>
      <w:pPr>
        <w:spacing w:after="0" w:line="183" w:lineRule="exact"/>
        <w:rPr>
          <w:rFonts w:ascii="Times New Roman" w:cs="Times New Roman" w:eastAsia="Times New Roman" w:hAnsi="Times New Roman"/>
          <w:sz w:val="18"/>
          <w:szCs w:val="18"/>
          <w:color w:val="auto"/>
        </w:rPr>
      </w:pPr>
    </w:p>
    <w:p>
      <w:pPr>
        <w:ind w:left="1300" w:right="380" w:hanging="239"/>
        <w:spacing w:after="0" w:line="261" w:lineRule="auto"/>
        <w:tabs>
          <w:tab w:leader="none" w:pos="1296"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 from Digital was due primarily to decreases of $35.9 million in traffic acquisition costs, $14.0 million in compensation expense and $13.9 million in content creation costs. The decreases in traffic acquisition costs and content creation costs were due primarily to lower revenue. The decrease in compensation expense was due primarily to lower headcount due to the aforementioned voluntary retirement program in the first quarter of 2022 and the reduction in force.</w:t>
      </w:r>
    </w:p>
    <w:p>
      <w:pPr>
        <w:spacing w:after="0" w:line="179" w:lineRule="exact"/>
        <w:rPr>
          <w:rFonts w:ascii="Times New Roman" w:cs="Times New Roman" w:eastAsia="Times New Roman" w:hAnsi="Times New Roman"/>
          <w:sz w:val="18"/>
          <w:szCs w:val="18"/>
          <w:color w:val="auto"/>
        </w:rPr>
      </w:pPr>
    </w:p>
    <w:p>
      <w:pPr>
        <w:ind w:left="660" w:right="40" w:hanging="247"/>
        <w:spacing w:after="0" w:line="261"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Emerging &amp; Other decrease was due primarily to the inclusion in the prior year period of $51.0 million in expense from Bluecrew, which was sold on November 9, 2022, a decrease in expense of $39.2 million from Roofing due primarily to a decline roofing materials and third-party contractor costs prior to its sale on November 1, 2023, and decreases of $11.6 million in production costs and third-party participation payments at IAC Films due primarily to </w:t>
      </w:r>
      <w:r>
        <w:rPr>
          <w:rFonts w:ascii="Times New Roman" w:cs="Times New Roman" w:eastAsia="Times New Roman" w:hAnsi="Times New Roman"/>
          <w:sz w:val="18"/>
          <w:szCs w:val="18"/>
          <w:i w:val="1"/>
          <w:iCs w:val="1"/>
          <w:color w:val="auto"/>
        </w:rPr>
        <w:t>Everything, Everywhere All at Once</w:t>
      </w:r>
      <w:r>
        <w:rPr>
          <w:rFonts w:ascii="Times New Roman" w:cs="Times New Roman" w:eastAsia="Times New Roman" w:hAnsi="Times New Roman"/>
          <w:sz w:val="18"/>
          <w:szCs w:val="18"/>
          <w:color w:val="auto"/>
        </w:rPr>
        <w:t xml:space="preserve"> and $6.9 million in traffic acquisition costs at Mosaic Group.</w:t>
      </w:r>
    </w:p>
    <w:p>
      <w:pPr>
        <w:spacing w:after="0" w:line="179" w:lineRule="exact"/>
        <w:rPr>
          <w:rFonts w:ascii="Times New Roman" w:cs="Times New Roman" w:eastAsia="Times New Roman" w:hAnsi="Times New Roman"/>
          <w:sz w:val="18"/>
          <w:szCs w:val="18"/>
          <w:color w:val="auto"/>
        </w:rPr>
      </w:pPr>
    </w:p>
    <w:p>
      <w:pPr>
        <w:ind w:left="660" w:right="240" w:hanging="247"/>
        <w:spacing w:after="0" w:line="282"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Search decrease was due primarily to a decrease in traffic acquisition costs of $28.0 million due primarily to a decrease in the proportion of revenue earned from affiliate partners who direct traffic to our websites.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 expense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00" w:type="dxa"/>
            <w:vAlign w:val="bottom"/>
            <w:gridSpan w:val="5"/>
          </w:tcPr>
          <w:p>
            <w:pPr>
              <w:jc w:val="center"/>
              <w:ind w:left="46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3"/>
        </w:trPr>
        <w:tc>
          <w:tcPr>
            <w:tcW w:w="27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5"/>
          </w:tcPr>
          <w:p>
            <w:pPr>
              <w:spacing w:after="0"/>
              <w:rPr>
                <w:sz w:val="2"/>
                <w:szCs w:val="2"/>
                <w:color w:val="auto"/>
              </w:rPr>
            </w:pPr>
          </w:p>
        </w:tc>
        <w:tc>
          <w:tcPr>
            <w:tcW w:w="2000" w:type="dxa"/>
            <w:vAlign w:val="bottom"/>
            <w:tcBorders>
              <w:bottom w:val="single" w:sz="8" w:color="auto"/>
            </w:tcBorders>
            <w:gridSpan w:val="3"/>
          </w:tcPr>
          <w:p>
            <w:pPr>
              <w:spacing w:after="0"/>
              <w:rPr>
                <w:sz w:val="2"/>
                <w:szCs w:val="2"/>
                <w:color w:val="auto"/>
              </w:rPr>
            </w:pPr>
          </w:p>
        </w:tc>
      </w:tr>
      <w:tr>
        <w:trPr>
          <w:trHeight w:val="190"/>
        </w:trPr>
        <w:tc>
          <w:tcPr>
            <w:tcW w:w="2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60" w:type="dxa"/>
            <w:vAlign w:val="bottom"/>
            <w:gridSpan w:val="5"/>
          </w:tcPr>
          <w:p>
            <w:pPr>
              <w:jc w:val="right"/>
              <w:ind w:right="1080"/>
              <w:spacing w:after="0"/>
              <w:rPr>
                <w:sz w:val="20"/>
                <w:szCs w:val="20"/>
                <w:color w:val="auto"/>
              </w:rPr>
            </w:pPr>
            <w:r>
              <w:rPr>
                <w:rFonts w:ascii="Times New Roman" w:cs="Times New Roman" w:eastAsia="Times New Roman" w:hAnsi="Times New Roman"/>
                <w:sz w:val="14"/>
                <w:szCs w:val="14"/>
                <w:b w:val="1"/>
                <w:bCs w:val="1"/>
                <w:color w:val="auto"/>
              </w:rPr>
              <w:t>2024 Change</w:t>
            </w:r>
          </w:p>
        </w:tc>
        <w:tc>
          <w:tcPr>
            <w:tcW w:w="200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2023 Change</w:t>
            </w:r>
          </w:p>
        </w:tc>
      </w:tr>
      <w:tr>
        <w:trPr>
          <w:trHeight w:val="196"/>
        </w:trPr>
        <w:tc>
          <w:tcPr>
            <w:tcW w:w="27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Borders>
              <w:top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89"/>
        </w:trPr>
        <w:tc>
          <w:tcPr>
            <w:tcW w:w="2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0" w:type="dxa"/>
            <w:vAlign w:val="bottom"/>
            <w:gridSpan w:val="4"/>
          </w:tcPr>
          <w:p>
            <w:pPr>
              <w:jc w:val="center"/>
              <w:ind w:left="561"/>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30"/>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and marketing expense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1,338,732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1,576,229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1,914,878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(237,497)</w:t>
            </w:r>
          </w:p>
        </w:tc>
        <w:tc>
          <w:tcPr>
            <w:tcW w:w="10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  $</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(338,649)</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(18)%</w:t>
            </w:r>
          </w:p>
        </w:tc>
      </w:tr>
      <w:tr>
        <w:trPr>
          <w:trHeight w:val="234"/>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a percentage of revenue</w:t>
            </w:r>
          </w:p>
        </w:tc>
        <w:tc>
          <w:tcPr>
            <w:tcW w:w="240" w:type="dxa"/>
            <w:vAlign w:val="bottom"/>
          </w:tcPr>
          <w:p>
            <w:pPr>
              <w:spacing w:after="0"/>
              <w:rPr>
                <w:sz w:val="20"/>
                <w:szCs w:val="20"/>
                <w:color w:val="auto"/>
              </w:rPr>
            </w:pPr>
          </w:p>
        </w:tc>
        <w:tc>
          <w:tcPr>
            <w:tcW w:w="920" w:type="dxa"/>
            <w:vAlign w:val="bottom"/>
          </w:tcPr>
          <w:p>
            <w:pPr>
              <w:jc w:val="right"/>
              <w:ind w:right="336"/>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336"/>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41"/>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r>
    </w:tbl>
    <w:p>
      <w:pPr>
        <w:spacing w:after="0" w:line="17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For the year ended December 31, 2024 compared to the year ended December 31, 2023</w:t>
      </w:r>
    </w:p>
    <w:p>
      <w:pPr>
        <w:spacing w:after="0" w:line="227" w:lineRule="exact"/>
        <w:rPr>
          <w:sz w:val="20"/>
          <w:szCs w:val="20"/>
          <w:color w:val="auto"/>
        </w:rPr>
      </w:pPr>
    </w:p>
    <w:p>
      <w:pPr>
        <w:ind w:right="40" w:firstLine="405"/>
        <w:spacing w:after="0" w:line="282" w:lineRule="auto"/>
        <w:rPr>
          <w:sz w:val="20"/>
          <w:szCs w:val="20"/>
          <w:color w:val="auto"/>
        </w:rPr>
      </w:pPr>
      <w:r>
        <w:rPr>
          <w:rFonts w:ascii="Times New Roman" w:cs="Times New Roman" w:eastAsia="Times New Roman" w:hAnsi="Times New Roman"/>
          <w:sz w:val="18"/>
          <w:szCs w:val="18"/>
          <w:color w:val="auto"/>
        </w:rPr>
        <w:t>Selling and marketing expense in 2024 decreased from 2023 due primarily to decreases of $163.6 million from Angi, $70.0 million from Emerging &amp; Other and $46.5 million from Search, partially offset by an increase of $41.0 million from Dotdash Meredith.</w:t>
      </w:r>
    </w:p>
    <w:p>
      <w:pPr>
        <w:spacing w:after="0" w:line="162" w:lineRule="exact"/>
        <w:rPr>
          <w:sz w:val="20"/>
          <w:szCs w:val="20"/>
          <w:color w:val="auto"/>
        </w:rPr>
      </w:pPr>
    </w:p>
    <w:p>
      <w:pPr>
        <w:ind w:left="660" w:right="60" w:hanging="247"/>
        <w:spacing w:after="0" w:line="281" w:lineRule="auto"/>
        <w:tabs>
          <w:tab w:leader="none" w:pos="655"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Angi decrease was due primarily to a decrease of $169.0 million from Ads and Leads due primarily to decreases of $129.9 million in advertising expense and $34.1 million in compensation expense. The decrease in advertising expense was due primarily to improved marketing efficiencies, including optimizations to matching and online bidding that resulted in fewer Service Requests but increased Monetized Transactions per Service Request, and a decrease in offline media spend. The decrease in compensation expense was due primarily to a reduction in headcount.</w:t>
      </w:r>
    </w:p>
    <w:p>
      <w:pPr>
        <w:spacing w:after="0" w:line="164" w:lineRule="exact"/>
        <w:rPr>
          <w:rFonts w:ascii="Times New Roman" w:cs="Times New Roman" w:eastAsia="Times New Roman" w:hAnsi="Times New Roman"/>
          <w:sz w:val="17"/>
          <w:szCs w:val="17"/>
          <w:color w:val="auto"/>
        </w:rPr>
      </w:pPr>
    </w:p>
    <w:p>
      <w:pPr>
        <w:ind w:left="660" w:right="20" w:hanging="247"/>
        <w:spacing w:after="0" w:line="282"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Emerging &amp; Other decrease was due primarily to a decrease in expense of $50.2 million from Mosaic Group, the assets of which were sold on February 15, 2024, and the inclusion in the prior year period of $17.7 million in expense from Roofing, which was sold on November 1, 2023.</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55" w:name="page56"/>
    <w:bookmarkEnd w:id="55"/>
    <w:p>
      <w:pPr>
        <w:ind w:left="660" w:right="60" w:hanging="247"/>
        <w:spacing w:after="0" w:line="266"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Search decrease was due primarily to decreases of $41.4 million in online marketing spend and $4.4 million in compensation expense. The decrease in online marketing was primarily due to the discontinuation of certain products and lower traffic volume. The decrease in compensation expense was due primarily to reductions in headcount.</w:t>
      </w:r>
    </w:p>
    <w:p>
      <w:pPr>
        <w:spacing w:after="0" w:line="175"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Dotdash Meredith increase was due primarily to increases of $29.9 million from Digital and $10.9 million from Print.</w:t>
      </w:r>
    </w:p>
    <w:p>
      <w:pPr>
        <w:spacing w:after="0" w:line="225" w:lineRule="exact"/>
        <w:rPr>
          <w:rFonts w:ascii="Times New Roman" w:cs="Times New Roman" w:eastAsia="Times New Roman" w:hAnsi="Times New Roman"/>
          <w:sz w:val="18"/>
          <w:szCs w:val="18"/>
          <w:color w:val="auto"/>
        </w:rPr>
      </w:pPr>
    </w:p>
    <w:p>
      <w:pPr>
        <w:ind w:left="1300" w:right="640" w:hanging="239"/>
        <w:spacing w:after="0" w:line="266" w:lineRule="auto"/>
        <w:tabs>
          <w:tab w:leader="none" w:pos="1296"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Digital increase was due primarily to increases of $15.1 million in online marketing spend and $9.5 million in compensation expense. The increase in online marketing spend was due primarily to an increase in paid affiliate commerce. The increase in compensation expense was due primarily to increases in salary, commissions and employee benefits.</w:t>
      </w:r>
    </w:p>
    <w:p>
      <w:pPr>
        <w:spacing w:after="0" w:line="175" w:lineRule="exact"/>
        <w:rPr>
          <w:rFonts w:ascii="Times New Roman" w:cs="Times New Roman" w:eastAsia="Times New Roman" w:hAnsi="Times New Roman"/>
          <w:sz w:val="18"/>
          <w:szCs w:val="18"/>
          <w:color w:val="auto"/>
        </w:rPr>
      </w:pPr>
    </w:p>
    <w:p>
      <w:pPr>
        <w:ind w:left="1300" w:right="140" w:hanging="239"/>
        <w:spacing w:after="0" w:line="256" w:lineRule="auto"/>
        <w:tabs>
          <w:tab w:leader="none" w:pos="1296"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Print increase was due primarily to increases of $8.6 million in subscription acquisition costs and $7.0 million in compensation expense. The increase in subscription acquisition costs resulted from an increase in the use of agents to source subscribers. The increase in compensation expense was due primarily to increases of $3.5 million in severance expense incurred in the fourth quarter of 2024 primarily related to headcount reductions intended to better align resources with strategic initiatives and $3.1 million in sales commissions resulting primarily from an increase in sales from a legacy agency business due to political advertising sold on third-party publisher platforms.</w:t>
      </w:r>
    </w:p>
    <w:p>
      <w:pPr>
        <w:spacing w:after="0" w:line="18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For the year ended December 31, 2023 compared to the year ended December 31, 2022</w:t>
      </w:r>
    </w:p>
    <w:p>
      <w:pPr>
        <w:spacing w:after="0" w:line="227" w:lineRule="exact"/>
        <w:rPr>
          <w:sz w:val="20"/>
          <w:szCs w:val="20"/>
          <w:color w:val="auto"/>
        </w:rPr>
      </w:pPr>
    </w:p>
    <w:p>
      <w:pPr>
        <w:ind w:right="220" w:firstLine="405"/>
        <w:spacing w:after="0" w:line="282" w:lineRule="auto"/>
        <w:rPr>
          <w:sz w:val="20"/>
          <w:szCs w:val="20"/>
          <w:color w:val="auto"/>
        </w:rPr>
      </w:pPr>
      <w:r>
        <w:rPr>
          <w:rFonts w:ascii="Times New Roman" w:cs="Times New Roman" w:eastAsia="Times New Roman" w:hAnsi="Times New Roman"/>
          <w:sz w:val="18"/>
          <w:szCs w:val="18"/>
          <w:color w:val="auto"/>
        </w:rPr>
        <w:t>Selling and marketing expense in 2023 decreased from 2022 due primarily to decreases of $125.1 million from Angi, $124.7 million from Dotdash Meredith, $59.7 million from Emerging &amp; Other and $33.6 million from Search.</w:t>
      </w:r>
    </w:p>
    <w:p>
      <w:pPr>
        <w:spacing w:after="0" w:line="162" w:lineRule="exact"/>
        <w:rPr>
          <w:sz w:val="20"/>
          <w:szCs w:val="20"/>
          <w:color w:val="auto"/>
        </w:rPr>
      </w:pPr>
    </w:p>
    <w:p>
      <w:pPr>
        <w:ind w:left="660" w:right="500" w:hanging="247"/>
        <w:spacing w:after="0" w:line="282"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Angi decrease was due primarily to decreases of $81.8 million from Ads and Leads, $34.8 million from Services and $5.8 million from International.</w:t>
      </w:r>
    </w:p>
    <w:p>
      <w:pPr>
        <w:spacing w:after="0" w:line="161" w:lineRule="exact"/>
        <w:rPr>
          <w:rFonts w:ascii="Times New Roman" w:cs="Times New Roman" w:eastAsia="Times New Roman" w:hAnsi="Times New Roman"/>
          <w:sz w:val="18"/>
          <w:szCs w:val="18"/>
          <w:color w:val="auto"/>
        </w:rPr>
      </w:pPr>
    </w:p>
    <w:p>
      <w:pPr>
        <w:ind w:left="1300" w:hanging="239"/>
        <w:spacing w:after="0"/>
        <w:tabs>
          <w:tab w:leader="none" w:pos="13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Ads and Leads decrease was due primarily to a decrease of $82.0 million in advertising expense, following a decrease of</w:t>
      </w:r>
    </w:p>
    <w:p>
      <w:pPr>
        <w:spacing w:after="0" w:line="27" w:lineRule="exact"/>
        <w:rPr>
          <w:rFonts w:ascii="Times New Roman" w:cs="Times New Roman" w:eastAsia="Times New Roman" w:hAnsi="Times New Roman"/>
          <w:sz w:val="18"/>
          <w:szCs w:val="18"/>
          <w:color w:val="auto"/>
        </w:rPr>
      </w:pPr>
    </w:p>
    <w:p>
      <w:pPr>
        <w:ind w:left="1300" w:right="1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$107.5 million in online marketing spend due to increased efficiency, partially offset by an increase of $25.3 million in television spend primarily due to efforts to build awareness of the Angi brand.</w:t>
      </w:r>
    </w:p>
    <w:p>
      <w:pPr>
        <w:spacing w:after="0" w:line="181" w:lineRule="exact"/>
        <w:rPr>
          <w:rFonts w:ascii="Times New Roman" w:cs="Times New Roman" w:eastAsia="Times New Roman" w:hAnsi="Times New Roman"/>
          <w:sz w:val="18"/>
          <w:szCs w:val="18"/>
          <w:color w:val="auto"/>
        </w:rPr>
      </w:pPr>
    </w:p>
    <w:p>
      <w:pPr>
        <w:ind w:left="1300" w:hanging="239"/>
        <w:spacing w:after="0" w:line="254" w:lineRule="auto"/>
        <w:tabs>
          <w:tab w:leader="none" w:pos="1296"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Services decrease was due primarily to decreases of $20.4 million in consulting fees and outsourced personnel costs, $19.1 million in compensation expense and $7.1 million in advertising expense, partially offset by an increase of $14.9 million in service guarantee expense. The decreases in consulting fees and outsourced personnel costs were due to $12.7 million less phone-based sales wages primarily resulting from increased reliance on more profitable digital conversion channels and $6.1 million less due to streamlined fulfillment operations, partially offset by fewer complex services. The decrease in compensation expense was due primarily to lower headcount. The decrease in advertising expense was due primarily to a decrease of $4.7 million in professional marketing spend. The increase in service guarantee expense is due to the aforementioned change in contractual terms and conditions resulting in the change to net revenue reporting such that this expense is no longer a component of cost of revenue, which is where the expense was recorded prior to January 1, 2023.</w:t>
      </w:r>
    </w:p>
    <w:p>
      <w:pPr>
        <w:spacing w:after="0" w:line="188" w:lineRule="exact"/>
        <w:rPr>
          <w:rFonts w:ascii="Times New Roman" w:cs="Times New Roman" w:eastAsia="Times New Roman" w:hAnsi="Times New Roman"/>
          <w:sz w:val="18"/>
          <w:szCs w:val="18"/>
          <w:color w:val="auto"/>
        </w:rPr>
      </w:pPr>
    </w:p>
    <w:p>
      <w:pPr>
        <w:ind w:left="1300" w:hanging="239"/>
        <w:spacing w:after="0"/>
        <w:tabs>
          <w:tab w:leader="none" w:pos="13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International decrease was due primarily to a decrease of $10.2 million in advertising expense due primarily to decreases of</w:t>
      </w:r>
    </w:p>
    <w:p>
      <w:pPr>
        <w:spacing w:after="0" w:line="27" w:lineRule="exact"/>
        <w:rPr>
          <w:rFonts w:ascii="Times New Roman" w:cs="Times New Roman" w:eastAsia="Times New Roman" w:hAnsi="Times New Roman"/>
          <w:sz w:val="18"/>
          <w:szCs w:val="18"/>
          <w:color w:val="auto"/>
        </w:rPr>
      </w:pPr>
    </w:p>
    <w:p>
      <w:pPr>
        <w:ind w:left="1300" w:right="1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$6.3 million and $4.2 million in online marketing spend and television spend, respectively, partially offset by an increase of $3.4 million in compensation expense due to higher headcount.</w:t>
      </w:r>
    </w:p>
    <w:p>
      <w:pPr>
        <w:spacing w:after="0" w:line="181" w:lineRule="exact"/>
        <w:rPr>
          <w:rFonts w:ascii="Times New Roman" w:cs="Times New Roman" w:eastAsia="Times New Roman" w:hAnsi="Times New Roman"/>
          <w:sz w:val="18"/>
          <w:szCs w:val="18"/>
          <w:color w:val="auto"/>
        </w:rPr>
      </w:pPr>
    </w:p>
    <w:p>
      <w:pPr>
        <w:ind w:left="660" w:right="40" w:hanging="247"/>
        <w:spacing w:after="0" w:line="256"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Dotdash Meredith decrease was due primarily to a decrease of $121.7 million from Print due primarily to decreases of $78.9 million in subscription acquisition costs and $28.7 million in compensation expense. The decrease in subscription acquisition costs was driven by lower commission payments made to third-party agents that sell magazine subscriptions due to the planned reduction in the circulation of certain publications and the discontinuation of several publications in the first quarter of 2022. The decrease in compensation expense was due primarily to the voluntary retirement program in the first quarter of 2022 and the reduction in force described above under “Dotdash Meredith Restructuring and Other Charges.”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7" w:right="359" w:bottom="1440" w:gutter="0" w:footer="0" w:header="0"/>
        </w:sectPr>
      </w:pPr>
    </w:p>
    <w:bookmarkStart w:id="56" w:name="page57"/>
    <w:bookmarkEnd w:id="56"/>
    <w:p>
      <w:pPr>
        <w:ind w:left="660" w:right="80" w:hanging="247"/>
        <w:spacing w:after="0" w:line="258" w:lineRule="auto"/>
        <w:tabs>
          <w:tab w:leader="none" w:pos="655"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Emerging &amp; Other decrease was due primarily to decreases of $21.9 million and $4.5 million in online marketing spend and television spend, respectively, at Mosaic Group, a decrease in expense of $15.4 million from Roofing due primarily to a decrease in compensation expense due to a reduction in headcount and a strategic shift in operations to select markets prior to its sale on November 1, 2023, the inclusion in the prior year period of $13.4 million in expense from Bluecrew, which was sold on November 9, 2022, and a decrease of $2.4 million in offline marketing spend at IAC Films.</w:t>
      </w:r>
    </w:p>
    <w:p>
      <w:pPr>
        <w:spacing w:after="0" w:line="183" w:lineRule="exact"/>
        <w:rPr>
          <w:rFonts w:ascii="Times New Roman" w:cs="Times New Roman" w:eastAsia="Times New Roman" w:hAnsi="Times New Roman"/>
          <w:sz w:val="18"/>
          <w:szCs w:val="18"/>
          <w:b w:val="1"/>
          <w:bCs w:val="1"/>
          <w:color w:val="auto"/>
        </w:rPr>
      </w:pPr>
    </w:p>
    <w:p>
      <w:pPr>
        <w:ind w:left="660" w:hanging="247"/>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Search decrease was due primarily to a decrease of $32.6 million in online marketing spend.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00" w:type="dxa"/>
            <w:vAlign w:val="bottom"/>
            <w:gridSpan w:val="5"/>
          </w:tcPr>
          <w:p>
            <w:pPr>
              <w:jc w:val="center"/>
              <w:ind w:left="50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3"/>
        </w:trPr>
        <w:tc>
          <w:tcPr>
            <w:tcW w:w="2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5"/>
          </w:tcPr>
          <w:p>
            <w:pPr>
              <w:spacing w:after="0"/>
              <w:rPr>
                <w:sz w:val="2"/>
                <w:szCs w:val="2"/>
                <w:color w:val="auto"/>
              </w:rPr>
            </w:pPr>
          </w:p>
        </w:tc>
        <w:tc>
          <w:tcPr>
            <w:tcW w:w="2020" w:type="dxa"/>
            <w:vAlign w:val="bottom"/>
            <w:tcBorders>
              <w:bottom w:val="single" w:sz="8" w:color="auto"/>
            </w:tcBorders>
            <w:gridSpan w:val="3"/>
          </w:tcPr>
          <w:p>
            <w:pPr>
              <w:spacing w:after="0"/>
              <w:rPr>
                <w:sz w:val="2"/>
                <w:szCs w:val="2"/>
                <w:color w:val="auto"/>
              </w:rPr>
            </w:pPr>
          </w:p>
        </w:tc>
      </w:tr>
      <w:tr>
        <w:trPr>
          <w:trHeight w:val="190"/>
        </w:trPr>
        <w:tc>
          <w:tcPr>
            <w:tcW w:w="2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60" w:type="dxa"/>
            <w:vAlign w:val="bottom"/>
            <w:gridSpan w:val="5"/>
          </w:tcPr>
          <w:p>
            <w:pPr>
              <w:jc w:val="right"/>
              <w:ind w:right="1100"/>
              <w:spacing w:after="0"/>
              <w:rPr>
                <w:sz w:val="20"/>
                <w:szCs w:val="20"/>
                <w:color w:val="auto"/>
              </w:rPr>
            </w:pPr>
            <w:r>
              <w:rPr>
                <w:rFonts w:ascii="Times New Roman" w:cs="Times New Roman" w:eastAsia="Times New Roman" w:hAnsi="Times New Roman"/>
                <w:sz w:val="14"/>
                <w:szCs w:val="14"/>
                <w:b w:val="1"/>
                <w:bCs w:val="1"/>
                <w:color w:val="auto"/>
              </w:rPr>
              <w:t>2024 Change</w:t>
            </w:r>
          </w:p>
        </w:tc>
        <w:tc>
          <w:tcPr>
            <w:tcW w:w="202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2023 Change</w:t>
            </w:r>
          </w:p>
        </w:tc>
      </w:tr>
      <w:tr>
        <w:trPr>
          <w:trHeight w:val="196"/>
        </w:trPr>
        <w:tc>
          <w:tcPr>
            <w:tcW w:w="27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89"/>
        </w:trPr>
        <w:tc>
          <w:tcPr>
            <w:tcW w:w="2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80" w:type="dxa"/>
            <w:vAlign w:val="bottom"/>
            <w:gridSpan w:val="4"/>
          </w:tcPr>
          <w:p>
            <w:pPr>
              <w:jc w:val="center"/>
              <w:ind w:left="621"/>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29"/>
        </w:trPr>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  $</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817,658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891,958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991,983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(74,300)</w:t>
            </w:r>
          </w:p>
        </w:tc>
        <w:tc>
          <w:tcPr>
            <w:tcW w:w="12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  $</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(100,025)</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(10)%</w:t>
            </w:r>
          </w:p>
        </w:tc>
      </w:tr>
      <w:tr>
        <w:trPr>
          <w:trHeight w:val="234"/>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 a percentage of revenue</w:t>
            </w:r>
          </w:p>
        </w:tc>
        <w:tc>
          <w:tcPr>
            <w:tcW w:w="900" w:type="dxa"/>
            <w:vAlign w:val="bottom"/>
          </w:tcPr>
          <w:p>
            <w:pPr>
              <w:jc w:val="right"/>
              <w:ind w:right="336"/>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36"/>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41"/>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r>
    </w:tbl>
    <w:p>
      <w:pPr>
        <w:spacing w:after="0" w:line="17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For the year ended December 31, 2024 compared to the year ended December 31, 2023</w:t>
      </w:r>
    </w:p>
    <w:p>
      <w:pPr>
        <w:spacing w:after="0" w:line="227" w:lineRule="exact"/>
        <w:rPr>
          <w:sz w:val="20"/>
          <w:szCs w:val="20"/>
          <w:color w:val="auto"/>
        </w:rPr>
      </w:pPr>
    </w:p>
    <w:p>
      <w:pPr>
        <w:jc w:val="both"/>
        <w:ind w:right="160" w:firstLine="405"/>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 in 2024 decreased from 2023 due primarily to decreases of $42.6 million from Dotdash Meredith, $39.4 million from Angi and $24.9 million from Emerging &amp; Other, partially offset by an increase of $30.3 million from Care.com.</w:t>
      </w:r>
    </w:p>
    <w:p>
      <w:pPr>
        <w:spacing w:after="0" w:line="148" w:lineRule="exact"/>
        <w:rPr>
          <w:sz w:val="20"/>
          <w:szCs w:val="20"/>
          <w:color w:val="auto"/>
        </w:rPr>
      </w:pPr>
    </w:p>
    <w:p>
      <w:pPr>
        <w:jc w:val="both"/>
        <w:ind w:left="660" w:right="240" w:hanging="247"/>
        <w:spacing w:after="0" w:line="296" w:lineRule="auto"/>
        <w:tabs>
          <w:tab w:leader="none" w:pos="655"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Dotdash Meredith decrease was due primarily to the inclusion in 2023 of an impairment charge of $44.7 million of an ROU asset related to unoccupied lease space at Other (unallocated corporate costs), as described above under “Dotdash Meredith Restructuring and Other Charges.”</w:t>
      </w:r>
    </w:p>
    <w:p>
      <w:pPr>
        <w:spacing w:after="0" w:line="179" w:lineRule="exact"/>
        <w:rPr>
          <w:rFonts w:ascii="Times New Roman" w:cs="Times New Roman" w:eastAsia="Times New Roman" w:hAnsi="Times New Roman"/>
          <w:sz w:val="17"/>
          <w:szCs w:val="17"/>
          <w:color w:val="auto"/>
        </w:rPr>
      </w:pPr>
    </w:p>
    <w:p>
      <w:pPr>
        <w:ind w:left="660" w:right="300" w:hanging="247"/>
        <w:spacing w:after="0" w:line="282"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Angi decrease was due primarily to decreases of $31.7 million from Ads and Leads and $13.2 million from Services, partially offset by an increase of $3.0 million from International.</w:t>
      </w:r>
    </w:p>
    <w:p>
      <w:pPr>
        <w:spacing w:after="0" w:line="148" w:lineRule="exact"/>
        <w:rPr>
          <w:rFonts w:ascii="Times New Roman" w:cs="Times New Roman" w:eastAsia="Times New Roman" w:hAnsi="Times New Roman"/>
          <w:sz w:val="18"/>
          <w:szCs w:val="18"/>
          <w:color w:val="auto"/>
        </w:rPr>
      </w:pPr>
    </w:p>
    <w:p>
      <w:pPr>
        <w:ind w:left="1300" w:right="20" w:hanging="239"/>
        <w:spacing w:after="0" w:line="238" w:lineRule="auto"/>
        <w:tabs>
          <w:tab w:leader="none" w:pos="1296"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Ads and Leads decrease was due primarily to decreases of $22.9 million in the provision for credit losses, $7.5 million in software license and maintenance costs and $3.8 million in third-party wages, partially offset by an increase in lease expense of $3.2 million. The decrease in the provision for credit losses was primarily due to lower revenue and improved collection rates. The decreases in software license and maintenance costs and third-party wages were due primarily to reduced costs related to customer support services. The increase in lease expense was primarily due to impairment charges of $6.8 million recognized in 2024 of ROU assets, partially offset by a gain on lease termination of $2.0 million in the second half of 2024 both related to Angi reducing its real estate footprint.</w:t>
      </w:r>
    </w:p>
    <w:p>
      <w:pPr>
        <w:spacing w:after="0" w:line="212" w:lineRule="exact"/>
        <w:rPr>
          <w:rFonts w:ascii="Times New Roman" w:cs="Times New Roman" w:eastAsia="Times New Roman" w:hAnsi="Times New Roman"/>
          <w:sz w:val="18"/>
          <w:szCs w:val="18"/>
          <w:color w:val="auto"/>
        </w:rPr>
      </w:pPr>
    </w:p>
    <w:p>
      <w:pPr>
        <w:jc w:val="both"/>
        <w:ind w:left="1300" w:right="20" w:hanging="239"/>
        <w:spacing w:after="0" w:line="250" w:lineRule="auto"/>
        <w:tabs>
          <w:tab w:leader="none" w:pos="1296"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Services decrease was due primarily to decreases of $9.2 million in compensation expense and $3.3 million in third-party wages. The decrease in compensation expense was due primarily to a reduction in headcount. The decrease in third-party wages was due primarily to reduced costs related to customer support services.</w:t>
      </w:r>
    </w:p>
    <w:p>
      <w:pPr>
        <w:spacing w:after="0" w:line="203" w:lineRule="exact"/>
        <w:rPr>
          <w:rFonts w:ascii="Times New Roman" w:cs="Times New Roman" w:eastAsia="Times New Roman" w:hAnsi="Times New Roman"/>
          <w:sz w:val="18"/>
          <w:szCs w:val="18"/>
          <w:color w:val="auto"/>
        </w:rPr>
      </w:pPr>
    </w:p>
    <w:p>
      <w:pPr>
        <w:ind w:left="1300" w:right="320" w:hanging="239"/>
        <w:spacing w:after="0" w:line="239" w:lineRule="auto"/>
        <w:tabs>
          <w:tab w:leader="none" w:pos="1296"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International increase was due primarily to increases of $3.0 million in the provision for credit losses, $1.8 million in non-payroll taxes and $1.6 million in professional fees, partially offset by a decrease of $2.2 million in compensation expense. The increase in the provision for credit losses was due primarily to reduced collection rates and higher revenue. The increase in non-payroll taxes was primarily due to digital services tax. The increase in professional fees was due to an increase of $1.4 million in consulting costs. The decrease in compensation expense was due primarily to a reduction in headcount.</w:t>
      </w:r>
    </w:p>
    <w:p>
      <w:pPr>
        <w:spacing w:after="0" w:line="224" w:lineRule="exact"/>
        <w:rPr>
          <w:rFonts w:ascii="Times New Roman" w:cs="Times New Roman" w:eastAsia="Times New Roman" w:hAnsi="Times New Roman"/>
          <w:sz w:val="18"/>
          <w:szCs w:val="18"/>
          <w:color w:val="auto"/>
        </w:rPr>
      </w:pPr>
    </w:p>
    <w:p>
      <w:pPr>
        <w:ind w:left="660" w:right="140" w:hanging="247"/>
        <w:spacing w:after="0" w:line="261"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Emerging &amp; Other decrease was due primarily to the inclusion in the prior year period of $14.5 million of expense from Roofing, which was sold on November 1, 2023, a decrease in expense of $8.2 million from Mosaic Group, the assets of which were sold on February 15, 2024, and decreases of $4.4 million in compensation expense at Newco (IAC's former incubator company), due primarily to a reduction in headcount, and $3.0 million in consulting costs at IAC Films, partially offset by an increase of $8.1 million in legal fees.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57" w:name="page58"/>
    <w:bookmarkEnd w:id="57"/>
    <w:p>
      <w:pPr>
        <w:ind w:left="660" w:right="560" w:hanging="247"/>
        <w:spacing w:after="0" w:line="282"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Care.com increase was due primarily to an increase of $18.7 million related to the resolution of certain legal matters and an increase in compensation expense due, in part, to an increase in headcount.</w:t>
      </w:r>
    </w:p>
    <w:p>
      <w:pPr>
        <w:spacing w:after="0" w:line="16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For the year ended December 31, 2023 compared to the year ended December 31, 2022</w:t>
      </w:r>
    </w:p>
    <w:p>
      <w:pPr>
        <w:spacing w:after="0" w:line="227"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 in 2023 decreased from 2022 due primarily to decreases of $87.8 million from Angi, $21.0 million from Emerging &amp; Other and $5.4 million from Dotdash Meredith, partially offset by increases of $12.5 million from Corporate and $3.0 million from Care.com.</w:t>
      </w:r>
    </w:p>
    <w:p>
      <w:pPr>
        <w:spacing w:after="0" w:line="162" w:lineRule="exact"/>
        <w:rPr>
          <w:sz w:val="20"/>
          <w:szCs w:val="20"/>
          <w:color w:val="auto"/>
        </w:rPr>
      </w:pPr>
    </w:p>
    <w:p>
      <w:pPr>
        <w:ind w:left="660" w:hanging="247"/>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Angi decrease was due primarily to decreases of $69.9 million from Ads and Leads and $22.7 million from Services.</w:t>
      </w:r>
    </w:p>
    <w:p>
      <w:pPr>
        <w:spacing w:after="0" w:line="211" w:lineRule="exact"/>
        <w:rPr>
          <w:rFonts w:ascii="Times New Roman" w:cs="Times New Roman" w:eastAsia="Times New Roman" w:hAnsi="Times New Roman"/>
          <w:sz w:val="18"/>
          <w:szCs w:val="18"/>
          <w:color w:val="auto"/>
        </w:rPr>
      </w:pPr>
    </w:p>
    <w:p>
      <w:pPr>
        <w:ind w:left="1300" w:right="120" w:hanging="239"/>
        <w:spacing w:after="0" w:line="242" w:lineRule="auto"/>
        <w:tabs>
          <w:tab w:leader="none" w:pos="1296"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Ads and Leads decrease was due primarily to decreases of $24.5 million in the provision of credit losses, $20.6 million in legal expense, $15.7 million in compensation expense and $6.0 million in outsourced personnel costs. The decrease in the provision for credit losses was due primarily to lower revenue and improved collection rates. The decrease in legal expense was due, in part, to a $10.9 million benefit in 2023 related to insurance coverage for previously incurred legal fees. The decreases in compensation expense and outsourced personnel costs were due primarily to lower headcount and a reduction in third-party providers, respectively.</w:t>
      </w:r>
    </w:p>
    <w:p>
      <w:pPr>
        <w:spacing w:after="0" w:line="211" w:lineRule="exact"/>
        <w:rPr>
          <w:rFonts w:ascii="Times New Roman" w:cs="Times New Roman" w:eastAsia="Times New Roman" w:hAnsi="Times New Roman"/>
          <w:sz w:val="18"/>
          <w:szCs w:val="18"/>
          <w:color w:val="auto"/>
        </w:rPr>
      </w:pPr>
    </w:p>
    <w:p>
      <w:pPr>
        <w:jc w:val="both"/>
        <w:ind w:left="1300" w:right="180" w:hanging="239"/>
        <w:spacing w:after="0" w:line="242" w:lineRule="auto"/>
        <w:tabs>
          <w:tab w:leader="none" w:pos="1296"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Services decrease was due primarily to decreases of $11.3 million in compensation expense, $9.5 million in legal expense and $4.8 million in the provision for credit losses. The decrease in compensation expense was due primarily to lower headcount. The decrease in the provision for credit losses was due primarily to lower revenue and improved collection rates.</w:t>
      </w:r>
    </w:p>
    <w:p>
      <w:pPr>
        <w:spacing w:after="0" w:line="197" w:lineRule="exact"/>
        <w:rPr>
          <w:rFonts w:ascii="Times New Roman" w:cs="Times New Roman" w:eastAsia="Times New Roman" w:hAnsi="Times New Roman"/>
          <w:sz w:val="18"/>
          <w:szCs w:val="18"/>
          <w:color w:val="auto"/>
        </w:rPr>
      </w:pPr>
    </w:p>
    <w:p>
      <w:pPr>
        <w:ind w:left="660" w:right="120" w:hanging="247"/>
        <w:spacing w:after="0" w:line="266"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Emerging &amp; Other decrease was due primarily to a decrease in expense of $12.5 million from Roofing due, in part, to a decrease in compensation expense resulting from a reduction in headcount prior to its sale on November 1, 2023, and the inclusion in the prior year period of $6.8 million in expense from Bluecrew, which was sold on November 9, 2022.</w:t>
      </w:r>
    </w:p>
    <w:p>
      <w:pPr>
        <w:spacing w:after="0" w:line="175" w:lineRule="exact"/>
        <w:rPr>
          <w:rFonts w:ascii="Times New Roman" w:cs="Times New Roman" w:eastAsia="Times New Roman" w:hAnsi="Times New Roman"/>
          <w:sz w:val="18"/>
          <w:szCs w:val="18"/>
          <w:color w:val="auto"/>
        </w:rPr>
      </w:pPr>
    </w:p>
    <w:p>
      <w:pPr>
        <w:ind w:left="660" w:right="80" w:hanging="247"/>
        <w:spacing w:after="0" w:line="258"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Dotdash Meredith decrease was due primarily to the inclusion in 2022 of $28.1 million in restructuring costs related to activities described above under “Dotdash Meredith Restructuring and Other Charges” and the inclusion of $6.8 million in 2022 of transaction-related costs related to the 2021 acquisition of Meredith, a decrease in expense in 2023 of $8.0 million due to the reversal of certain pre-acquisition indemnification liabilities related to the 2021 Meredith acquisition and a decrease of $4.8 million in legal fees, partially offset by the inclusion in the first quarter of 2023 of $44.7 million related to an impairment charge of an ROU asset related to unoccupied lease space.</w:t>
      </w:r>
    </w:p>
    <w:p>
      <w:pPr>
        <w:spacing w:after="0" w:line="183"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Corporate increase was due primarily to an increase of $13.0 million in compensation expense.</w:t>
      </w:r>
    </w:p>
    <w:p>
      <w:pPr>
        <w:spacing w:after="0" w:line="225" w:lineRule="exact"/>
        <w:rPr>
          <w:rFonts w:ascii="Times New Roman" w:cs="Times New Roman" w:eastAsia="Times New Roman" w:hAnsi="Times New Roman"/>
          <w:sz w:val="18"/>
          <w:szCs w:val="18"/>
          <w:color w:val="auto"/>
        </w:rPr>
      </w:pPr>
    </w:p>
    <w:p>
      <w:pPr>
        <w:ind w:left="660" w:right="240" w:hanging="247"/>
        <w:spacing w:after="0" w:line="266"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Care.com increase was due primarily to the inclusion in the prior year period of a $3.2 million gain related to the termination of a lease and $2.3 million in impairment charges related to ROU assets in 2023, partially offset by a decrease of $1.6 million in non-payroll related taxes primarily related to a sales tax refund received in 2023.</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development expense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20" w:type="dxa"/>
            <w:vAlign w:val="bottom"/>
            <w:gridSpan w:val="5"/>
          </w:tcPr>
          <w:p>
            <w:pPr>
              <w:jc w:val="center"/>
              <w:ind w:left="32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3"/>
        </w:trPr>
        <w:tc>
          <w:tcPr>
            <w:tcW w:w="27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4"/>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3"/>
          </w:tcPr>
          <w:p>
            <w:pPr>
              <w:spacing w:after="0"/>
              <w:rPr>
                <w:sz w:val="2"/>
                <w:szCs w:val="2"/>
                <w:color w:val="auto"/>
              </w:rPr>
            </w:pPr>
          </w:p>
        </w:tc>
      </w:tr>
      <w:tr>
        <w:trPr>
          <w:trHeight w:val="190"/>
        </w:trPr>
        <w:tc>
          <w:tcPr>
            <w:tcW w:w="2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40" w:type="dxa"/>
            <w:vAlign w:val="bottom"/>
            <w:gridSpan w:val="4"/>
          </w:tcPr>
          <w:p>
            <w:pPr>
              <w:ind w:left="520"/>
              <w:spacing w:after="0"/>
              <w:rPr>
                <w:sz w:val="20"/>
                <w:szCs w:val="20"/>
                <w:color w:val="auto"/>
              </w:rPr>
            </w:pPr>
            <w:r>
              <w:rPr>
                <w:rFonts w:ascii="Times New Roman" w:cs="Times New Roman" w:eastAsia="Times New Roman" w:hAnsi="Times New Roman"/>
                <w:sz w:val="14"/>
                <w:szCs w:val="14"/>
                <w:b w:val="1"/>
                <w:bCs w:val="1"/>
                <w:color w:val="auto"/>
              </w:rPr>
              <w:t>2024 Change</w:t>
            </w:r>
          </w:p>
        </w:tc>
        <w:tc>
          <w:tcPr>
            <w:tcW w:w="200" w:type="dxa"/>
            <w:vAlign w:val="bottom"/>
          </w:tcPr>
          <w:p>
            <w:pPr>
              <w:spacing w:after="0"/>
              <w:rPr>
                <w:sz w:val="16"/>
                <w:szCs w:val="16"/>
                <w:color w:val="auto"/>
              </w:rPr>
            </w:pPr>
          </w:p>
        </w:tc>
        <w:tc>
          <w:tcPr>
            <w:tcW w:w="202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2023 Change</w:t>
            </w:r>
          </w:p>
        </w:tc>
      </w:tr>
      <w:tr>
        <w:trPr>
          <w:trHeight w:val="196"/>
        </w:trPr>
        <w:tc>
          <w:tcPr>
            <w:tcW w:w="27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89"/>
        </w:trPr>
        <w:tc>
          <w:tcPr>
            <w:tcW w:w="2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0" w:type="dxa"/>
            <w:vAlign w:val="bottom"/>
            <w:gridSpan w:val="4"/>
          </w:tcPr>
          <w:p>
            <w:pPr>
              <w:jc w:val="center"/>
              <w:ind w:left="441"/>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30"/>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development expense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323,687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334,491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318,028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(10,804)</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16,463</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8"/>
                <w:szCs w:val="18"/>
                <w:color w:val="auto"/>
              </w:rPr>
              <w:t>5%</w:t>
            </w:r>
          </w:p>
        </w:tc>
      </w:tr>
      <w:tr>
        <w:trPr>
          <w:trHeight w:val="234"/>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a percentage of revenue</w:t>
            </w:r>
          </w:p>
        </w:tc>
        <w:tc>
          <w:tcPr>
            <w:tcW w:w="280" w:type="dxa"/>
            <w:vAlign w:val="bottom"/>
          </w:tcPr>
          <w:p>
            <w:pPr>
              <w:spacing w:after="0"/>
              <w:rPr>
                <w:sz w:val="20"/>
                <w:szCs w:val="20"/>
                <w:color w:val="auto"/>
              </w:rPr>
            </w:pPr>
          </w:p>
        </w:tc>
        <w:tc>
          <w:tcPr>
            <w:tcW w:w="920" w:type="dxa"/>
            <w:vAlign w:val="bottom"/>
          </w:tcPr>
          <w:p>
            <w:pPr>
              <w:jc w:val="right"/>
              <w:ind w:right="396"/>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396"/>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381"/>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58" w:name="page59"/>
    <w:bookmarkEnd w:id="58"/>
    <w:p>
      <w:pPr>
        <w:ind w:left="420"/>
        <w:spacing w:after="0"/>
        <w:rPr>
          <w:sz w:val="20"/>
          <w:szCs w:val="20"/>
          <w:color w:val="auto"/>
        </w:rPr>
      </w:pPr>
      <w:r>
        <w:rPr>
          <w:rFonts w:ascii="Times New Roman" w:cs="Times New Roman" w:eastAsia="Times New Roman" w:hAnsi="Times New Roman"/>
          <w:sz w:val="18"/>
          <w:szCs w:val="18"/>
          <w:i w:val="1"/>
          <w:iCs w:val="1"/>
          <w:color w:val="auto"/>
        </w:rPr>
        <w:t>For the year ended December 31, 2024 compared to the year ended December 31, 2023</w:t>
      </w:r>
    </w:p>
    <w:p>
      <w:pPr>
        <w:spacing w:after="0" w:line="227" w:lineRule="exact"/>
        <w:rPr>
          <w:sz w:val="20"/>
          <w:szCs w:val="20"/>
          <w:color w:val="auto"/>
        </w:rPr>
      </w:pPr>
    </w:p>
    <w:p>
      <w:pPr>
        <w:ind w:right="240" w:firstLine="405"/>
        <w:spacing w:after="0" w:line="282" w:lineRule="auto"/>
        <w:rPr>
          <w:sz w:val="20"/>
          <w:szCs w:val="20"/>
          <w:color w:val="auto"/>
        </w:rPr>
      </w:pPr>
      <w:r>
        <w:rPr>
          <w:rFonts w:ascii="Times New Roman" w:cs="Times New Roman" w:eastAsia="Times New Roman" w:hAnsi="Times New Roman"/>
          <w:sz w:val="18"/>
          <w:szCs w:val="18"/>
          <w:color w:val="auto"/>
        </w:rPr>
        <w:t>Product development expense in 2024 decreased from 2023 due primarily to decreases of $12.1 million from Emerging &amp; Other, $3.7 million from Care.com and $2.3 million from Search, partially offset by an increase of $8.4 million from Dotdash Meredith.</w:t>
      </w:r>
    </w:p>
    <w:p>
      <w:pPr>
        <w:spacing w:after="0" w:line="162" w:lineRule="exact"/>
        <w:rPr>
          <w:sz w:val="20"/>
          <w:szCs w:val="20"/>
          <w:color w:val="auto"/>
        </w:rPr>
      </w:pPr>
    </w:p>
    <w:p>
      <w:pPr>
        <w:ind w:left="660" w:right="160" w:hanging="247"/>
        <w:spacing w:after="0" w:line="282"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Emerging &amp; Other decrease was due primarily to decreases of $8.8 million in expense from Mosaic Group, the assets of which were sold on February 15, 2024, and $2.6 million in compensation expense at Vivian Health due primarily to a reduction in headcount.</w:t>
      </w:r>
    </w:p>
    <w:p>
      <w:pPr>
        <w:spacing w:after="0" w:line="161" w:lineRule="exact"/>
        <w:rPr>
          <w:rFonts w:ascii="Times New Roman" w:cs="Times New Roman" w:eastAsia="Times New Roman" w:hAnsi="Times New Roman"/>
          <w:sz w:val="18"/>
          <w:szCs w:val="18"/>
          <w:color w:val="auto"/>
        </w:rPr>
      </w:pPr>
    </w:p>
    <w:p>
      <w:pPr>
        <w:ind w:left="660" w:right="380" w:hanging="247"/>
        <w:spacing w:after="0" w:line="312" w:lineRule="auto"/>
        <w:tabs>
          <w:tab w:leader="none" w:pos="655"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Care.com decrease was due primarily to a decrease of $5.1 million in outsourced personnel costs resulting from the completion of certain projects in 2023, partially offset by an increase of $1.6 million in consulting costs resulting from investment in a specific project in 2024.</w:t>
      </w:r>
    </w:p>
    <w:p>
      <w:pPr>
        <w:spacing w:after="0" w:line="139" w:lineRule="exact"/>
        <w:rPr>
          <w:rFonts w:ascii="Times New Roman" w:cs="Times New Roman" w:eastAsia="Times New Roman" w:hAnsi="Times New Roman"/>
          <w:sz w:val="17"/>
          <w:szCs w:val="17"/>
          <w:color w:val="auto"/>
        </w:rPr>
      </w:pPr>
    </w:p>
    <w:p>
      <w:pPr>
        <w:ind w:left="660" w:hanging="247"/>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Search decrease was due primarily to a decrease in outsourced personnel costs of $1.9 million.</w:t>
      </w:r>
    </w:p>
    <w:p>
      <w:pPr>
        <w:spacing w:after="0" w:line="225" w:lineRule="exact"/>
        <w:rPr>
          <w:rFonts w:ascii="Times New Roman" w:cs="Times New Roman" w:eastAsia="Times New Roman" w:hAnsi="Times New Roman"/>
          <w:sz w:val="18"/>
          <w:szCs w:val="18"/>
          <w:color w:val="auto"/>
        </w:rPr>
      </w:pPr>
    </w:p>
    <w:p>
      <w:pPr>
        <w:ind w:left="660" w:right="300" w:hanging="247"/>
        <w:spacing w:after="0" w:line="258"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Dotdash Meredith increase was due primarily to an increase of $9.1 million from Digital due primarily to an increase of $14.2 million in compensation expense, partially offset by decreases of $3.5 million in outsourced personnel costs and $2.4 million in software license and maintenance costs. The increase in compensation expense is due to an increase in headcount, which was partially offset by a reduction in outsourced personnel costs due to a reduction in the use of third-party contractors. The decrease in software license and maintenance costs was due primarily to a reduction in software contract renewals.</w:t>
      </w:r>
    </w:p>
    <w:p>
      <w:pPr>
        <w:spacing w:after="0" w:line="18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For the year ended December 31, 2023 compared to the year ended December 31, 2022</w:t>
      </w:r>
    </w:p>
    <w:p>
      <w:pPr>
        <w:spacing w:after="0" w:line="227" w:lineRule="exact"/>
        <w:rPr>
          <w:sz w:val="20"/>
          <w:szCs w:val="20"/>
          <w:color w:val="auto"/>
        </w:rPr>
      </w:pPr>
    </w:p>
    <w:p>
      <w:pPr>
        <w:ind w:right="200" w:firstLine="405"/>
        <w:spacing w:after="0" w:line="282" w:lineRule="auto"/>
        <w:rPr>
          <w:sz w:val="20"/>
          <w:szCs w:val="20"/>
          <w:color w:val="auto"/>
        </w:rPr>
      </w:pPr>
      <w:r>
        <w:rPr>
          <w:rFonts w:ascii="Times New Roman" w:cs="Times New Roman" w:eastAsia="Times New Roman" w:hAnsi="Times New Roman"/>
          <w:sz w:val="18"/>
          <w:szCs w:val="18"/>
          <w:color w:val="auto"/>
        </w:rPr>
        <w:t>Product development expense in 2023 increased from 2022 due primarily to an increase of $22.8 million from Angi, partially offset by decreases of $5.8 million from Emerging &amp; Other and $2.0 million from Care.com.</w:t>
      </w:r>
    </w:p>
    <w:p>
      <w:pPr>
        <w:spacing w:after="0" w:line="162" w:lineRule="exact"/>
        <w:rPr>
          <w:sz w:val="20"/>
          <w:szCs w:val="20"/>
          <w:color w:val="auto"/>
        </w:rPr>
      </w:pPr>
    </w:p>
    <w:p>
      <w:pPr>
        <w:ind w:left="660" w:right="720" w:hanging="247"/>
        <w:spacing w:after="0" w:line="282"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Angi increase was due primarily to an increase of $20.0 million from Ads and Leads due primarily to an increase of $21.8 million in compensation expense resulting from a decrease in capitalized projects in 2023 as compared to 2022.</w:t>
      </w:r>
    </w:p>
    <w:p>
      <w:pPr>
        <w:spacing w:after="0" w:line="161" w:lineRule="exact"/>
        <w:rPr>
          <w:rFonts w:ascii="Times New Roman" w:cs="Times New Roman" w:eastAsia="Times New Roman" w:hAnsi="Times New Roman"/>
          <w:sz w:val="18"/>
          <w:szCs w:val="18"/>
          <w:color w:val="auto"/>
        </w:rPr>
      </w:pPr>
    </w:p>
    <w:p>
      <w:pPr>
        <w:ind w:left="660" w:hanging="247"/>
        <w:spacing w:after="0" w:line="256"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Emerging &amp; Other decrease was due primarily to the inclusion in the prior year period of $8.8 million of expense at Bluecrew, which was sold on November 9, 2022 and decreases of $2.2 million and $1.2 million in compensation expense at Mosaic Group and Newco (IAC's former incubator company), respectively, due to reductions in headcount, partially offset by an increase of $4.7 million in compensation expense at Vivian Health. The increase in compensation expense at Vivian Health was due primarily to a $7.1 million increase in payroll-related expenses due to higher headcount, partially offset by a $2.4 million charge related to the sale of equity interests held by certain members of its management and the settlement of certain employee stock-based awards in conjunction with an equity raise in the second quarter of 2022.</w:t>
      </w:r>
    </w:p>
    <w:p>
      <w:pPr>
        <w:spacing w:after="0" w:line="187" w:lineRule="exact"/>
        <w:rPr>
          <w:rFonts w:ascii="Times New Roman" w:cs="Times New Roman" w:eastAsia="Times New Roman" w:hAnsi="Times New Roman"/>
          <w:sz w:val="18"/>
          <w:szCs w:val="18"/>
          <w:color w:val="auto"/>
        </w:rPr>
      </w:pPr>
    </w:p>
    <w:p>
      <w:pPr>
        <w:ind w:left="660" w:right="380" w:hanging="247"/>
        <w:spacing w:after="0" w:line="266"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Care.com decrease was due primarily to a decrease of $2.7 million in outsourced personnel costs resulting from the completion of certain projects in 2022, partially offset by an increase of $1.2 million in software license and maintenance costs resulting from improvements to Care.com's online platform.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00" w:type="dxa"/>
            <w:vAlign w:val="bottom"/>
            <w:gridSpan w:val="5"/>
          </w:tcPr>
          <w:p>
            <w:pPr>
              <w:jc w:val="center"/>
              <w:ind w:left="50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3"/>
        </w:trPr>
        <w:tc>
          <w:tcPr>
            <w:tcW w:w="2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5"/>
          </w:tcPr>
          <w:p>
            <w:pPr>
              <w:spacing w:after="0"/>
              <w:rPr>
                <w:sz w:val="2"/>
                <w:szCs w:val="2"/>
                <w:color w:val="auto"/>
              </w:rPr>
            </w:pPr>
          </w:p>
        </w:tc>
        <w:tc>
          <w:tcPr>
            <w:tcW w:w="2020" w:type="dxa"/>
            <w:vAlign w:val="bottom"/>
            <w:tcBorders>
              <w:bottom w:val="single" w:sz="8" w:color="auto"/>
            </w:tcBorders>
            <w:gridSpan w:val="3"/>
          </w:tcPr>
          <w:p>
            <w:pPr>
              <w:spacing w:after="0"/>
              <w:rPr>
                <w:sz w:val="2"/>
                <w:szCs w:val="2"/>
                <w:color w:val="auto"/>
              </w:rPr>
            </w:pPr>
          </w:p>
        </w:tc>
      </w:tr>
      <w:tr>
        <w:trPr>
          <w:trHeight w:val="190"/>
        </w:trPr>
        <w:tc>
          <w:tcPr>
            <w:tcW w:w="2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60" w:type="dxa"/>
            <w:vAlign w:val="bottom"/>
            <w:gridSpan w:val="5"/>
          </w:tcPr>
          <w:p>
            <w:pPr>
              <w:jc w:val="right"/>
              <w:ind w:right="1080"/>
              <w:spacing w:after="0"/>
              <w:rPr>
                <w:sz w:val="20"/>
                <w:szCs w:val="20"/>
                <w:color w:val="auto"/>
              </w:rPr>
            </w:pPr>
            <w:r>
              <w:rPr>
                <w:rFonts w:ascii="Times New Roman" w:cs="Times New Roman" w:eastAsia="Times New Roman" w:hAnsi="Times New Roman"/>
                <w:sz w:val="14"/>
                <w:szCs w:val="14"/>
                <w:b w:val="1"/>
                <w:bCs w:val="1"/>
                <w:color w:val="auto"/>
              </w:rPr>
              <w:t>2024 Change</w:t>
            </w:r>
          </w:p>
        </w:tc>
        <w:tc>
          <w:tcPr>
            <w:tcW w:w="202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2023 Change</w:t>
            </w:r>
          </w:p>
        </w:tc>
      </w:tr>
      <w:tr>
        <w:trPr>
          <w:trHeight w:val="196"/>
        </w:trPr>
        <w:tc>
          <w:tcPr>
            <w:tcW w:w="27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Borders>
              <w:top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89"/>
        </w:trPr>
        <w:tc>
          <w:tcPr>
            <w:tcW w:w="2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80" w:type="dxa"/>
            <w:vAlign w:val="bottom"/>
            <w:gridSpan w:val="4"/>
          </w:tcPr>
          <w:p>
            <w:pPr>
              <w:jc w:val="center"/>
              <w:ind w:left="621"/>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30"/>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126,890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175,096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130,986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(48,206)</w:t>
            </w:r>
          </w:p>
        </w:tc>
        <w:tc>
          <w:tcPr>
            <w:tcW w:w="12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  $</w:t>
            </w:r>
          </w:p>
        </w:tc>
        <w:tc>
          <w:tcPr>
            <w:tcW w:w="9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44,110</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34%</w:t>
            </w:r>
          </w:p>
        </w:tc>
      </w:tr>
      <w:tr>
        <w:trPr>
          <w:trHeight w:val="234"/>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a percentage of revenue</w:t>
            </w:r>
          </w:p>
        </w:tc>
        <w:tc>
          <w:tcPr>
            <w:tcW w:w="280" w:type="dxa"/>
            <w:vAlign w:val="bottom"/>
          </w:tcPr>
          <w:p>
            <w:pPr>
              <w:spacing w:after="0"/>
              <w:rPr>
                <w:sz w:val="20"/>
                <w:szCs w:val="20"/>
                <w:color w:val="auto"/>
              </w:rPr>
            </w:pPr>
          </w:p>
        </w:tc>
        <w:tc>
          <w:tcPr>
            <w:tcW w:w="900" w:type="dxa"/>
            <w:vAlign w:val="bottom"/>
          </w:tcPr>
          <w:p>
            <w:pPr>
              <w:jc w:val="right"/>
              <w:ind w:right="376"/>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76"/>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81"/>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59" w:name="page60"/>
    <w:bookmarkEnd w:id="59"/>
    <w:p>
      <w:pPr>
        <w:ind w:left="420"/>
        <w:spacing w:after="0"/>
        <w:rPr>
          <w:sz w:val="20"/>
          <w:szCs w:val="20"/>
          <w:color w:val="auto"/>
        </w:rPr>
      </w:pPr>
      <w:r>
        <w:rPr>
          <w:rFonts w:ascii="Times New Roman" w:cs="Times New Roman" w:eastAsia="Times New Roman" w:hAnsi="Times New Roman"/>
          <w:sz w:val="18"/>
          <w:szCs w:val="18"/>
          <w:i w:val="1"/>
          <w:iCs w:val="1"/>
          <w:color w:val="auto"/>
        </w:rPr>
        <w:t>For the year ended December 31, 2024 compared to the year ended December 31, 2023</w:t>
      </w:r>
    </w:p>
    <w:p>
      <w:pPr>
        <w:spacing w:after="0" w:line="227"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Depreciation in 2024 decreased from 2023 due primarily to decreases of $44.0 million at Dotdash Meredith and $7.6 million at Angi. The decrease at Dotdash Meredith was due primarily to the inclusion of an impairment charge of $25.3 million recognized in 2023 related to leasehold improvements and furniture and equipment resulting from unoccupied leased space, a $4.2 million write-off of certain leasehold improvements and furniture and equipment during 2023 and a decrease in expense related to the acceleration of depreciation on certain assets in 2023. The decrease at Angi was due primarily to the reduction in depreciation of capitalized software as a result of certain assets being fully depreciated, partially offset by the impairment of certain leasehold improvements and furniture and equipment in connection with the reduction of Angi's real estate footprint in 2024.</w:t>
      </w:r>
    </w:p>
    <w:p>
      <w:pPr>
        <w:spacing w:after="0" w:line="18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For the year ended December 31, 2023 compared to the year ended December 31, 2022</w:t>
      </w:r>
    </w:p>
    <w:p>
      <w:pPr>
        <w:spacing w:after="0" w:line="227"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Depreciation in 2023 increased from 2022 due primarily to increases of $28.9 million at Dotdash Meredith and $16.1 million at Angi. The increase at Dotdash Meredith was due primarily to an impairment of leasehold improvements and furniture and equipment of $25.3 million in the first quarter of 2023 related to unoccupied leased space and a $4.2 million write-off of certain leasehold improvements and furniture and equipment during the second quarter of 2023, partially offset by the inclusion of a $7.0 million impairment recorded in the third quarter of 2022 of leasehold improvements and furniture and equipment related to the consolidation of certain leased spaces, as described above under “Dotdash Meredith Restructuring and Other Charges.” The increase at Angi was due primarily to an increase in capitalized software projects placed in service and investments in capitalized software.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 of Intangibles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20" w:type="dxa"/>
            <w:vAlign w:val="bottom"/>
            <w:gridSpan w:val="5"/>
          </w:tcPr>
          <w:p>
            <w:pPr>
              <w:jc w:val="center"/>
              <w:ind w:left="48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3"/>
        </w:trPr>
        <w:tc>
          <w:tcPr>
            <w:tcW w:w="2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5"/>
          </w:tcPr>
          <w:p>
            <w:pPr>
              <w:spacing w:after="0"/>
              <w:rPr>
                <w:sz w:val="2"/>
                <w:szCs w:val="2"/>
                <w:color w:val="auto"/>
              </w:rPr>
            </w:pPr>
          </w:p>
        </w:tc>
        <w:tc>
          <w:tcPr>
            <w:tcW w:w="2020" w:type="dxa"/>
            <w:vAlign w:val="bottom"/>
            <w:tcBorders>
              <w:bottom w:val="single" w:sz="8" w:color="auto"/>
            </w:tcBorders>
            <w:gridSpan w:val="3"/>
          </w:tcPr>
          <w:p>
            <w:pPr>
              <w:spacing w:after="0"/>
              <w:rPr>
                <w:sz w:val="2"/>
                <w:szCs w:val="2"/>
                <w:color w:val="auto"/>
              </w:rPr>
            </w:pPr>
          </w:p>
        </w:tc>
      </w:tr>
      <w:tr>
        <w:trPr>
          <w:trHeight w:val="190"/>
        </w:trPr>
        <w:tc>
          <w:tcPr>
            <w:tcW w:w="2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60" w:type="dxa"/>
            <w:vAlign w:val="bottom"/>
            <w:gridSpan w:val="5"/>
          </w:tcPr>
          <w:p>
            <w:pPr>
              <w:jc w:val="right"/>
              <w:ind w:right="1080"/>
              <w:spacing w:after="0"/>
              <w:rPr>
                <w:sz w:val="20"/>
                <w:szCs w:val="20"/>
                <w:color w:val="auto"/>
              </w:rPr>
            </w:pPr>
            <w:r>
              <w:rPr>
                <w:rFonts w:ascii="Times New Roman" w:cs="Times New Roman" w:eastAsia="Times New Roman" w:hAnsi="Times New Roman"/>
                <w:sz w:val="14"/>
                <w:szCs w:val="14"/>
                <w:b w:val="1"/>
                <w:bCs w:val="1"/>
                <w:color w:val="auto"/>
              </w:rPr>
              <w:t>2024 Change</w:t>
            </w:r>
          </w:p>
        </w:tc>
        <w:tc>
          <w:tcPr>
            <w:tcW w:w="202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2023 Change</w:t>
            </w:r>
          </w:p>
        </w:tc>
      </w:tr>
      <w:tr>
        <w:trPr>
          <w:trHeight w:val="196"/>
        </w:trPr>
        <w:tc>
          <w:tcPr>
            <w:tcW w:w="27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89"/>
        </w:trPr>
        <w:tc>
          <w:tcPr>
            <w:tcW w:w="2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0" w:type="dxa"/>
            <w:vAlign w:val="bottom"/>
            <w:gridSpan w:val="4"/>
          </w:tcPr>
          <w:p>
            <w:pPr>
              <w:jc w:val="center"/>
              <w:ind w:left="601"/>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29"/>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144,506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295,970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307,718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(151,464)</w:t>
            </w:r>
          </w:p>
        </w:tc>
        <w:tc>
          <w:tcPr>
            <w:tcW w:w="12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  $</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(11,748)</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(4)%</w:t>
            </w:r>
          </w:p>
        </w:tc>
      </w:tr>
      <w:tr>
        <w:trPr>
          <w:trHeight w:val="234"/>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a percentage of revenue</w:t>
            </w:r>
          </w:p>
        </w:tc>
        <w:tc>
          <w:tcPr>
            <w:tcW w:w="280" w:type="dxa"/>
            <w:vAlign w:val="bottom"/>
          </w:tcPr>
          <w:p>
            <w:pPr>
              <w:spacing w:after="0"/>
              <w:rPr>
                <w:sz w:val="20"/>
                <w:szCs w:val="20"/>
                <w:color w:val="auto"/>
              </w:rPr>
            </w:pPr>
          </w:p>
        </w:tc>
        <w:tc>
          <w:tcPr>
            <w:tcW w:w="900" w:type="dxa"/>
            <w:vAlign w:val="bottom"/>
          </w:tcPr>
          <w:p>
            <w:pPr>
              <w:jc w:val="right"/>
              <w:ind w:right="376"/>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76"/>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81"/>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r>
    </w:tbl>
    <w:p>
      <w:pPr>
        <w:spacing w:after="0" w:line="17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For the year ended December 31, 2024 compared to the year ended December 31, 2023</w:t>
      </w:r>
    </w:p>
    <w:p>
      <w:pPr>
        <w:spacing w:after="0" w:line="227" w:lineRule="exact"/>
        <w:rPr>
          <w:sz w:val="20"/>
          <w:szCs w:val="20"/>
          <w:color w:val="auto"/>
        </w:rPr>
      </w:pPr>
    </w:p>
    <w:p>
      <w:pPr>
        <w:ind w:right="80" w:firstLine="405"/>
        <w:spacing w:after="0" w:line="256" w:lineRule="auto"/>
        <w:rPr>
          <w:sz w:val="20"/>
          <w:szCs w:val="20"/>
          <w:color w:val="auto"/>
        </w:rPr>
      </w:pPr>
      <w:r>
        <w:rPr>
          <w:rFonts w:ascii="Times New Roman" w:cs="Times New Roman" w:eastAsia="Times New Roman" w:hAnsi="Times New Roman"/>
          <w:sz w:val="18"/>
          <w:szCs w:val="18"/>
          <w:color w:val="auto"/>
        </w:rPr>
        <w:t>Amortization of intangibles in 2024 decreased from 2023 due primarily to decreases of $143.3 million at Dotdash Meredith and $5.4 million at Angi. The decrease at Dotdash Meredith was due primarily to the inclusion in 2023 of indefinite-lived intangible asset impairments totaling $87.5 million at the Dotdash Meredith Digital segment and certain intangible assets becoming fully amortized, partially offset by an increase of $8.3 million in expense as a result of a change in classification of certain Dotdash Meredith Digital trade name indefinite-lived intangible assets to definite-lived intangible assets, effective January 1, 2024. The decrease at Angi was due primarily to all definite-lived intangible assets becoming fully amortized, partially offset by an indefinite-lived intangible asset impairment of $2.6 million at the Angi Services segment in the fourth quarter of 2024.</w:t>
      </w:r>
    </w:p>
    <w:p>
      <w:pPr>
        <w:spacing w:after="0" w:line="18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For the year ended December 31, 2023 compared to the year ended December 31, 2022</w:t>
      </w:r>
    </w:p>
    <w:p>
      <w:pPr>
        <w:spacing w:after="0" w:line="227" w:lineRule="exact"/>
        <w:rPr>
          <w:sz w:val="20"/>
          <w:szCs w:val="20"/>
          <w:color w:val="auto"/>
        </w:rPr>
      </w:pPr>
    </w:p>
    <w:p>
      <w:pPr>
        <w:ind w:right="220" w:firstLine="405"/>
        <w:spacing w:after="0" w:line="256" w:lineRule="auto"/>
        <w:rPr>
          <w:sz w:val="20"/>
          <w:szCs w:val="20"/>
          <w:color w:val="auto"/>
        </w:rPr>
      </w:pPr>
      <w:r>
        <w:rPr>
          <w:rFonts w:ascii="Times New Roman" w:cs="Times New Roman" w:eastAsia="Times New Roman" w:hAnsi="Times New Roman"/>
          <w:sz w:val="18"/>
          <w:szCs w:val="18"/>
          <w:color w:val="auto"/>
        </w:rPr>
        <w:t>Amortization of intangibles in 2023 decreased from 2022 due primarily to decreases of $6.3 million at Care.com and $5.8 million at Angi, partially offset by an increase of $2.0 million at Dotdash Meredith. The decreases at both Care.com and Angi were due primarily to certain intangible assets becoming fully amortized. The increase at Dotdash Meredith was due primarily to $79.9 million and $7.6 million indefinite-lived intangible asset impairments at the Dotdash Meredith Digital segment in the fourth and third quarters of 2023, respectively, partially offset by higher expense in 2022 resulting from fair value adjustments recorded during the measurement period to identifiable intangible assets in connection with the completion of purchase accounting related to the 2021 acquisition of Meredith.</w:t>
      </w:r>
    </w:p>
    <w:p>
      <w:pPr>
        <w:spacing w:after="0" w:line="174" w:lineRule="exact"/>
        <w:rPr>
          <w:sz w:val="20"/>
          <w:szCs w:val="20"/>
          <w:color w:val="auto"/>
        </w:rPr>
      </w:pPr>
    </w:p>
    <w:p>
      <w:pPr>
        <w:ind w:right="280" w:firstLine="405"/>
        <w:spacing w:after="0" w:line="266"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u w:val="single" w:color="auto"/>
          <w:color w:val="0000FF"/>
        </w:rPr>
        <w:t>Note 2—Summary of Significant Accounting Policies</w:t>
      </w:r>
      <w:r>
        <w:rPr>
          <w:rFonts w:ascii="Times New Roman" w:cs="Times New Roman" w:eastAsia="Times New Roman" w:hAnsi="Times New Roman"/>
          <w:sz w:val="18"/>
          <w:szCs w:val="18"/>
          <w:color w:val="auto"/>
        </w:rPr>
        <w:t>” in the accompanying notes to the financial statements included in “</w:t>
      </w:r>
      <w:r>
        <w:rPr>
          <w:rFonts w:ascii="Times New Roman" w:cs="Times New Roman" w:eastAsia="Times New Roman" w:hAnsi="Times New Roman"/>
          <w:sz w:val="18"/>
          <w:szCs w:val="18"/>
          <w:u w:val="single" w:color="auto"/>
          <w:color w:val="0000FF"/>
        </w:rPr>
        <w:t>Item 8—Financial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Statements and Supplementary Data</w:t>
      </w:r>
      <w:r>
        <w:rPr>
          <w:rFonts w:ascii="Times New Roman" w:cs="Times New Roman" w:eastAsia="Times New Roman" w:hAnsi="Times New Roman"/>
          <w:sz w:val="18"/>
          <w:szCs w:val="18"/>
          <w:color w:val="000000"/>
        </w:rPr>
        <w:t>” for further discussion of the Company’s assessment of impairment of indefinite-lived intangible assets.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Impairment</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190"/>
        </w:trPr>
        <w:tc>
          <w:tcPr>
            <w:tcW w:w="2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00" w:type="dxa"/>
            <w:vAlign w:val="bottom"/>
            <w:gridSpan w:val="5"/>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3"/>
        </w:trPr>
        <w:tc>
          <w:tcPr>
            <w:tcW w:w="2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5"/>
          </w:tcPr>
          <w:p>
            <w:pPr>
              <w:spacing w:after="0"/>
              <w:rPr>
                <w:sz w:val="2"/>
                <w:szCs w:val="2"/>
                <w:color w:val="auto"/>
              </w:rPr>
            </w:pPr>
          </w:p>
        </w:tc>
        <w:tc>
          <w:tcPr>
            <w:tcW w:w="2040" w:type="dxa"/>
            <w:vAlign w:val="bottom"/>
            <w:tcBorders>
              <w:bottom w:val="single" w:sz="8" w:color="auto"/>
            </w:tcBorders>
            <w:gridSpan w:val="3"/>
          </w:tcPr>
          <w:p>
            <w:pPr>
              <w:spacing w:after="0"/>
              <w:rPr>
                <w:sz w:val="2"/>
                <w:szCs w:val="2"/>
                <w:color w:val="auto"/>
              </w:rPr>
            </w:pPr>
          </w:p>
        </w:tc>
      </w:tr>
      <w:tr>
        <w:trPr>
          <w:trHeight w:val="190"/>
        </w:trPr>
        <w:tc>
          <w:tcPr>
            <w:tcW w:w="2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4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2024 Change</w:t>
            </w:r>
          </w:p>
        </w:tc>
        <w:tc>
          <w:tcPr>
            <w:tcW w:w="204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2023 Change</w:t>
            </w:r>
          </w:p>
        </w:tc>
      </w:tr>
      <w:tr>
        <w:trPr>
          <w:trHeight w:val="196"/>
        </w:trPr>
        <w:tc>
          <w:tcPr>
            <w:tcW w:w="27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Borders>
              <w:top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89"/>
        </w:trPr>
        <w:tc>
          <w:tcPr>
            <w:tcW w:w="2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0" w:type="dxa"/>
            <w:vAlign w:val="bottom"/>
            <w:gridSpan w:val="4"/>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30"/>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10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NM  $</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(103,753)</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(92)%</w:t>
            </w:r>
          </w:p>
        </w:tc>
      </w:tr>
      <w:tr>
        <w:trPr>
          <w:trHeight w:val="234"/>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a percentage of revenue</w:t>
            </w:r>
          </w:p>
        </w:tc>
        <w:tc>
          <w:tcPr>
            <w:tcW w:w="260" w:type="dxa"/>
            <w:vAlign w:val="bottom"/>
          </w:tcPr>
          <w:p>
            <w:pPr>
              <w:spacing w:after="0"/>
              <w:rPr>
                <w:sz w:val="20"/>
                <w:szCs w:val="20"/>
                <w:color w:val="auto"/>
              </w:rPr>
            </w:pPr>
          </w:p>
        </w:tc>
        <w:tc>
          <w:tcPr>
            <w:tcW w:w="1300" w:type="dxa"/>
            <w:vAlign w:val="bottom"/>
            <w:gridSpan w:val="3"/>
          </w:tcPr>
          <w:p>
            <w:pPr>
              <w:jc w:val="center"/>
              <w:ind w:right="660"/>
              <w:spacing w:after="0"/>
              <w:rPr>
                <w:sz w:val="20"/>
                <w:szCs w:val="20"/>
                <w:color w:val="auto"/>
              </w:rPr>
            </w:pPr>
            <w:r>
              <w:rPr>
                <w:rFonts w:ascii="Times New Roman" w:cs="Times New Roman" w:eastAsia="Times New Roman" w:hAnsi="Times New Roman"/>
                <w:sz w:val="18"/>
                <w:szCs w:val="18"/>
                <w:color w:val="auto"/>
                <w:w w:val="96"/>
              </w:rPr>
              <w:t>—%</w:t>
            </w:r>
          </w:p>
        </w:tc>
        <w:tc>
          <w:tcPr>
            <w:tcW w:w="900" w:type="dxa"/>
            <w:vAlign w:val="bottom"/>
          </w:tcPr>
          <w:p>
            <w:pPr>
              <w:jc w:val="right"/>
              <w:ind w:right="376"/>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40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1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For the years ended December 31, 2024, 2023 and 2022</w:t>
      </w:r>
    </w:p>
    <w:p>
      <w:pPr>
        <w:spacing w:after="0" w:line="2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There were no goodwill impairments recorded in 2024.</w:t>
      </w:r>
    </w:p>
    <w:p>
      <w:pPr>
        <w:spacing w:after="0" w:line="225" w:lineRule="exact"/>
        <w:rPr>
          <w:sz w:val="20"/>
          <w:szCs w:val="20"/>
          <w:color w:val="auto"/>
        </w:rPr>
      </w:pPr>
    </w:p>
    <w:p>
      <w:pPr>
        <w:ind w:right="240" w:firstLine="405"/>
        <w:spacing w:after="0" w:line="282" w:lineRule="auto"/>
        <w:rPr>
          <w:sz w:val="20"/>
          <w:szCs w:val="20"/>
          <w:color w:val="auto"/>
        </w:rPr>
      </w:pPr>
      <w:r>
        <w:rPr>
          <w:rFonts w:ascii="Times New Roman" w:cs="Times New Roman" w:eastAsia="Times New Roman" w:hAnsi="Times New Roman"/>
          <w:sz w:val="18"/>
          <w:szCs w:val="18"/>
          <w:color w:val="auto"/>
        </w:rPr>
        <w:t>The Company recorded a goodwill impairment in 2023 of $9.0 million at Mosaic Group as a result of the projected reduction in future revenue and profits from the business and lower trading multiples of a selected peer group of companies.</w:t>
      </w:r>
    </w:p>
    <w:p>
      <w:pPr>
        <w:spacing w:after="0" w:line="162" w:lineRule="exact"/>
        <w:rPr>
          <w:sz w:val="20"/>
          <w:szCs w:val="20"/>
          <w:color w:val="auto"/>
        </w:rPr>
      </w:pPr>
    </w:p>
    <w:p>
      <w:pPr>
        <w:ind w:right="180" w:firstLine="405"/>
        <w:spacing w:after="0" w:line="261" w:lineRule="auto"/>
        <w:rPr>
          <w:sz w:val="20"/>
          <w:szCs w:val="20"/>
          <w:color w:val="auto"/>
        </w:rPr>
      </w:pPr>
      <w:r>
        <w:rPr>
          <w:rFonts w:ascii="Times New Roman" w:cs="Times New Roman" w:eastAsia="Times New Roman" w:hAnsi="Times New Roman"/>
          <w:sz w:val="18"/>
          <w:szCs w:val="18"/>
          <w:color w:val="auto"/>
        </w:rPr>
        <w:t>The Company recorded goodwill impairments in 2022 of $86.7 million and $26.0 million at Mosaic Group and Roofing, respectively. The goodwill impairment at Mosaic Group was a result of the projected reduction in future revenue and profits from the business and lower trading multiples of a selected peer group of companies. The goodwill impairment at Roofing was due to the business exiting certain markets and the projected reduction in future profits.</w:t>
      </w:r>
    </w:p>
    <w:p>
      <w:pPr>
        <w:spacing w:after="0" w:line="166" w:lineRule="exact"/>
        <w:rPr>
          <w:sz w:val="20"/>
          <w:szCs w:val="20"/>
          <w:color w:val="auto"/>
        </w:rPr>
      </w:pPr>
    </w:p>
    <w:p>
      <w:pPr>
        <w:ind w:right="280" w:firstLine="405"/>
        <w:spacing w:after="0" w:line="266"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u w:val="single" w:color="auto"/>
          <w:color w:val="0000FF"/>
        </w:rPr>
        <w:t>Note 2—Summary of Significant Accounting Policies</w:t>
      </w:r>
      <w:r>
        <w:rPr>
          <w:rFonts w:ascii="Times New Roman" w:cs="Times New Roman" w:eastAsia="Times New Roman" w:hAnsi="Times New Roman"/>
          <w:sz w:val="18"/>
          <w:szCs w:val="18"/>
          <w:color w:val="auto"/>
        </w:rPr>
        <w:t>” in the accompanying notes to the financial statements included in “</w:t>
      </w:r>
      <w:r>
        <w:rPr>
          <w:rFonts w:ascii="Times New Roman" w:cs="Times New Roman" w:eastAsia="Times New Roman" w:hAnsi="Times New Roman"/>
          <w:sz w:val="18"/>
          <w:szCs w:val="18"/>
          <w:u w:val="single" w:color="auto"/>
          <w:color w:val="0000FF"/>
        </w:rPr>
        <w:t>Item 8—Financial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Statements and Supplementary Data</w:t>
      </w:r>
      <w:r>
        <w:rPr>
          <w:rFonts w:ascii="Times New Roman" w:cs="Times New Roman" w:eastAsia="Times New Roman" w:hAnsi="Times New Roman"/>
          <w:sz w:val="18"/>
          <w:szCs w:val="18"/>
          <w:color w:val="000000"/>
        </w:rPr>
        <w:t>” for further discussion of the Company’s assessment of impairment of goodwill.</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8"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income (loss)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80" w:type="dxa"/>
            <w:vAlign w:val="bottom"/>
            <w:gridSpan w:val="6"/>
          </w:tcPr>
          <w:p>
            <w:pPr>
              <w:ind w:left="7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
        </w:trPr>
        <w:tc>
          <w:tcPr>
            <w:tcW w:w="2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3"/>
          </w:tcPr>
          <w:p>
            <w:pPr>
              <w:spacing w:after="0"/>
              <w:rPr>
                <w:sz w:val="2"/>
                <w:szCs w:val="2"/>
                <w:color w:val="auto"/>
              </w:rPr>
            </w:pPr>
          </w:p>
        </w:tc>
      </w:tr>
      <w:tr>
        <w:trPr>
          <w:trHeight w:val="190"/>
        </w:trPr>
        <w:tc>
          <w:tcPr>
            <w:tcW w:w="2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2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2024 Change</w:t>
            </w:r>
          </w:p>
        </w:tc>
        <w:tc>
          <w:tcPr>
            <w:tcW w:w="200" w:type="dxa"/>
            <w:vAlign w:val="bottom"/>
          </w:tcPr>
          <w:p>
            <w:pPr>
              <w:spacing w:after="0"/>
              <w:rPr>
                <w:sz w:val="16"/>
                <w:szCs w:val="16"/>
                <w:color w:val="auto"/>
              </w:rPr>
            </w:pPr>
          </w:p>
        </w:tc>
        <w:tc>
          <w:tcPr>
            <w:tcW w:w="2140" w:type="dxa"/>
            <w:vAlign w:val="bottom"/>
            <w:gridSpan w:val="3"/>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2023 Change</w:t>
            </w:r>
          </w:p>
        </w:tc>
      </w:tr>
      <w:tr>
        <w:trPr>
          <w:trHeight w:val="196"/>
        </w:trPr>
        <w:tc>
          <w:tcPr>
            <w:tcW w:w="266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89"/>
        </w:trPr>
        <w:tc>
          <w:tcPr>
            <w:tcW w:w="2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29"/>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Dotdash Meredith</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2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Digital</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146,838</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(16,656)</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(66,629)</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163,494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NM</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49,973</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75 %</w:t>
            </w:r>
          </w:p>
        </w:tc>
      </w:tr>
      <w:tr>
        <w:trPr>
          <w:trHeight w:val="230"/>
        </w:trPr>
        <w:tc>
          <w:tcPr>
            <w:tcW w:w="2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Print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24,588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(54,448)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NM</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50,948</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94 %</w:t>
            </w:r>
          </w:p>
        </w:tc>
      </w:tr>
      <w:tr>
        <w:trPr>
          <w:trHeight w:val="229"/>
        </w:trPr>
        <w:tc>
          <w:tcPr>
            <w:tcW w:w="26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(64,552)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(130,582)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(67,014)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66,030</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(63,568)</w:t>
            </w:r>
          </w:p>
        </w:tc>
        <w:tc>
          <w:tcPr>
            <w:tcW w:w="11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23"/>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Dotdash Meredith</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106,874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(188,091)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257,612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NM</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37,353</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29"/>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Angi</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2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Domestic</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2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Ads and Leads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94,428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50,043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85,593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44,385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(35,550)</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9"/>
        </w:trPr>
        <w:tc>
          <w:tcPr>
            <w:tcW w:w="2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Services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(95,166)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71,716</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r>
      <w:tr>
        <w:trPr>
          <w:trHeight w:val="230"/>
        </w:trPr>
        <w:tc>
          <w:tcPr>
            <w:tcW w:w="26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(64,845)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(61,377)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(61,794)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(3,468)</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1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23"/>
        </w:trPr>
        <w:tc>
          <w:tcPr>
            <w:tcW w:w="2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Domestic</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(71,367)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44,927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NM</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36,583</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r>
      <w:tr>
        <w:trPr>
          <w:trHeight w:val="230"/>
        </w:trPr>
        <w:tc>
          <w:tcPr>
            <w:tcW w:w="26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International</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11,742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3,456</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12,539</w:t>
            </w: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3"/>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Angi</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(75,620)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48,383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NM</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49,122</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r>
      <w:tr>
        <w:trPr>
          <w:trHeight w:val="230"/>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Care.com</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33,744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31,189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14,015</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45 %</w:t>
            </w:r>
          </w:p>
        </w:tc>
      </w:tr>
      <w:tr>
        <w:trPr>
          <w:trHeight w:val="229"/>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Search</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44,198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83,398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(39,200)</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9"/>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Emerging &amp; Other</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(37,695)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(26,441)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(188,028)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161,587</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86 %</w:t>
            </w:r>
          </w:p>
        </w:tc>
      </w:tr>
      <w:tr>
        <w:trPr>
          <w:trHeight w:val="230"/>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(146,444)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(146,488)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(137,619)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(8,869)</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2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(4,230)</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(260,763)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(474,771)</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256,533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214,008</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45 %</w:t>
            </w:r>
          </w:p>
        </w:tc>
      </w:tr>
      <w:tr>
        <w:trPr>
          <w:trHeight w:val="20"/>
        </w:trPr>
        <w:tc>
          <w:tcPr>
            <w:tcW w:w="26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r>
      <w:tr>
        <w:trPr>
          <w:trHeight w:val="237"/>
        </w:trPr>
        <w:tc>
          <w:tcPr>
            <w:tcW w:w="26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30"/>
        </w:trPr>
        <w:tc>
          <w:tcPr>
            <w:tcW w:w="2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As a percentage of revenue</w:t>
            </w:r>
          </w:p>
        </w:tc>
        <w:tc>
          <w:tcPr>
            <w:tcW w:w="260" w:type="dxa"/>
            <w:vAlign w:val="bottom"/>
          </w:tcPr>
          <w:p>
            <w:pPr>
              <w:spacing w:after="0"/>
              <w:rPr>
                <w:sz w:val="19"/>
                <w:szCs w:val="19"/>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13"/>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0"/>
        </w:trPr>
        <w:tc>
          <w:tcPr>
            <w:tcW w:w="26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1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For the year ended December 31, 2024 compared to the year ended December 31, 2023</w:t>
      </w:r>
    </w:p>
    <w:p>
      <w:pPr>
        <w:spacing w:after="0" w:line="227"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Operating loss decreased $256.5 million, or 98%, due primarily to a decrease of $151.5 million in amortization of intangibles, described above, an increase of $43.2 million in Adjusted EBITDA, described below, decreases of $48.2 million in depreciation and $9.0 million in goodwill impairment, both described above, and a decrease of $4.7 million in stock-based compensation expense. The decrease in stock-based compensation expense was due primarily to a reduction in headcount at Angi and an increase in awards being forfeited in the current year, partially offset by new awards granted in 2024.</w:t>
      </w:r>
    </w:p>
    <w:p>
      <w:pPr>
        <w:spacing w:after="0" w:line="1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At December 31, 2024, there was $206.8 million of unrecognized compensation cost, net of estimated forfeitures, related to all equity-based awards,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Angi, which is expected to be recognized over a weighted average period of approximately 3.6 years. Included in the aforementioned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unrecognized compensation costs at December 31, 2024 is $81.0 million of unrecognized compensation costs related to Mr. Levin's restricted stock award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was forfeited in January 2025 in connection with his Employment Transition Agreement. Excluding Mr. Levin's restricted stock award, there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$125.8 million of unrecognized compensation cost, net of estimated forfeitures, related to all equity-based awards, which is expected to be recognized over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weighted average period of approximately 2.1 years. The amount of unrecognized compensation cost, net of estimated forfeitures, at December 31,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to Angi is $36.5 million.</w:t>
      </w:r>
    </w:p>
    <w:p>
      <w:pPr>
        <w:spacing w:after="0" w:line="207" w:lineRule="exact"/>
        <w:rPr>
          <w:sz w:val="20"/>
          <w:szCs w:val="20"/>
          <w:color w:val="auto"/>
        </w:rPr>
      </w:pPr>
    </w:p>
    <w:p>
      <w:pPr>
        <w:ind w:right="280" w:firstLine="405"/>
        <w:spacing w:after="0" w:line="282"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u w:val="single" w:color="auto"/>
          <w:color w:val="0000FF"/>
        </w:rPr>
        <w:t>Note 10—Stock-Based Compensation</w:t>
      </w:r>
      <w:r>
        <w:rPr>
          <w:rFonts w:ascii="Times New Roman" w:cs="Times New Roman" w:eastAsia="Times New Roman" w:hAnsi="Times New Roman"/>
          <w:sz w:val="18"/>
          <w:szCs w:val="18"/>
          <w:color w:val="auto"/>
        </w:rPr>
        <w:t>” in the accompanying notes to the financial statements included in “</w:t>
      </w:r>
      <w:r>
        <w:rPr>
          <w:rFonts w:ascii="Times New Roman" w:cs="Times New Roman" w:eastAsia="Times New Roman" w:hAnsi="Times New Roman"/>
          <w:sz w:val="18"/>
          <w:szCs w:val="18"/>
          <w:u w:val="single" w:color="auto"/>
          <w:color w:val="0000FF"/>
        </w:rPr>
        <w:t>Item 8—Financial Statements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Supplementary Data</w:t>
      </w:r>
      <w:r>
        <w:rPr>
          <w:rFonts w:ascii="Times New Roman" w:cs="Times New Roman" w:eastAsia="Times New Roman" w:hAnsi="Times New Roman"/>
          <w:sz w:val="18"/>
          <w:szCs w:val="18"/>
          <w:color w:val="000000"/>
        </w:rPr>
        <w:t>” for further discussion of Mr. Levin's restricted stock award.</w:t>
      </w:r>
    </w:p>
    <w:p>
      <w:pPr>
        <w:spacing w:after="0" w:line="16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For the year ended December 31, 2023 compared to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2" w:name="page63"/>
    <w:bookmarkEnd w:id="62"/>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Operating loss decreased $214.0 million, or 45%, due primarily to an increase of $136.9 million in Adjusted EBITDA, described below, decreases of $103.8 million in goodwill impairments, $11.7 million in amortization of intangibles and $6.3 million in stock-based compensation expense, partially offset by an increase of $44.1 million in depreciation and income of $0.6 million in 2022 related to an acquisition-related contingent consideration fair value adjustment. For the decreases in goodwill impairments and amortization of intangibles and for the increase in depreciation refer to the discussions above. The decrease in stock-based compensation expense was due primarily to lower expense at Angi's Services segment due to a reduction in headcount as a result of the shift away from complex and less profitable offerings.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60" w:type="dxa"/>
            <w:vAlign w:val="bottom"/>
            <w:gridSpan w:val="6"/>
          </w:tcPr>
          <w:p>
            <w:pPr>
              <w:ind w:left="6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
        </w:trPr>
        <w:tc>
          <w:tcPr>
            <w:tcW w:w="26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3"/>
          </w:tcPr>
          <w:p>
            <w:pPr>
              <w:spacing w:after="0"/>
              <w:rPr>
                <w:sz w:val="2"/>
                <w:szCs w:val="2"/>
                <w:color w:val="auto"/>
              </w:rPr>
            </w:pPr>
          </w:p>
        </w:tc>
      </w:tr>
      <w:tr>
        <w:trPr>
          <w:trHeight w:val="190"/>
        </w:trPr>
        <w:tc>
          <w:tcPr>
            <w:tcW w:w="2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2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2024 Change</w:t>
            </w:r>
          </w:p>
        </w:tc>
        <w:tc>
          <w:tcPr>
            <w:tcW w:w="200" w:type="dxa"/>
            <w:vAlign w:val="bottom"/>
          </w:tcPr>
          <w:p>
            <w:pPr>
              <w:spacing w:after="0"/>
              <w:rPr>
                <w:sz w:val="16"/>
                <w:szCs w:val="16"/>
                <w:color w:val="auto"/>
              </w:rPr>
            </w:pPr>
          </w:p>
        </w:tc>
        <w:tc>
          <w:tcPr>
            <w:tcW w:w="2140" w:type="dxa"/>
            <w:vAlign w:val="bottom"/>
            <w:gridSpan w:val="3"/>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2023 Change</w:t>
            </w:r>
          </w:p>
        </w:tc>
      </w:tr>
      <w:tr>
        <w:trPr>
          <w:trHeight w:val="196"/>
        </w:trPr>
        <w:tc>
          <w:tcPr>
            <w:tcW w:w="26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89"/>
        </w:trPr>
        <w:tc>
          <w:tcPr>
            <w:tcW w:w="2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0"/>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Dotdash Meredith</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2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Digital</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289,393</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242,969</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186,696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46,424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56,273</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30 %</w:t>
            </w:r>
          </w:p>
        </w:tc>
      </w:tr>
      <w:tr>
        <w:trPr>
          <w:trHeight w:val="229"/>
        </w:trPr>
        <w:tc>
          <w:tcPr>
            <w:tcW w:w="2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Print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53,793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33,091</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106 %</w:t>
            </w:r>
          </w:p>
        </w:tc>
      </w:tr>
      <w:tr>
        <w:trPr>
          <w:trHeight w:val="230"/>
        </w:trPr>
        <w:tc>
          <w:tcPr>
            <w:tcW w:w="26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(47,766)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(84,438)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(65,682)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36,672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(18,756)</w:t>
            </w:r>
          </w:p>
        </w:tc>
        <w:tc>
          <w:tcPr>
            <w:tcW w:w="11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3"/>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Dotdash Meredith</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295,420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222,757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72,663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70,608</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r>
      <w:tr>
        <w:trPr>
          <w:trHeight w:val="230"/>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Angi</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2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Domestic</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2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Ads and Leads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180,334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147,357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168,952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32,977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(21,595)</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2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Services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60,249</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9"/>
        </w:trPr>
        <w:tc>
          <w:tcPr>
            <w:tcW w:w="26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(55,441)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(50,076)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(49,866)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2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Domestic</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129,362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38,444</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r>
      <w:tr>
        <w:trPr>
          <w:trHeight w:val="229"/>
        </w:trPr>
        <w:tc>
          <w:tcPr>
            <w:tcW w:w="26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International</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15,953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13,074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13,555</w:t>
            </w: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3"/>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Angi</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66,479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51,999</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78 %</w:t>
            </w:r>
          </w:p>
        </w:tc>
      </w:tr>
      <w:tr>
        <w:trPr>
          <w:trHeight w:val="230"/>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Care.com</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45,181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56,205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46,899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9,306</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30"/>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Search</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(26,773)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(39,203)</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0"/>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Emerging &amp; Other</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(35,995)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(69,942)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(21,629)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55,576</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79 %</w:t>
            </w:r>
          </w:p>
        </w:tc>
      </w:tr>
      <w:tr>
        <w:trPr>
          <w:trHeight w:val="229"/>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(87,742)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(90,873)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(79,521)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(11,352)</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3"/>
        </w:trPr>
        <w:tc>
          <w:tcPr>
            <w:tcW w:w="2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379,689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336,484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199,550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43,205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136,934</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69 %</w:t>
            </w:r>
          </w:p>
        </w:tc>
      </w:tr>
      <w:tr>
        <w:trPr>
          <w:trHeight w:val="20"/>
        </w:trPr>
        <w:tc>
          <w:tcPr>
            <w:tcW w:w="26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r>
      <w:tr>
        <w:trPr>
          <w:trHeight w:val="237"/>
        </w:trPr>
        <w:tc>
          <w:tcPr>
            <w:tcW w:w="26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30"/>
        </w:trPr>
        <w:tc>
          <w:tcPr>
            <w:tcW w:w="2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As a percentage of revenue</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0"/>
        </w:trPr>
        <w:tc>
          <w:tcPr>
            <w:tcW w:w="2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1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u w:val="single" w:color="auto"/>
          <w:color w:val="0000FF"/>
        </w:rPr>
        <w:t>Principles of Financial Reporting</w:t>
      </w:r>
      <w:r>
        <w:rPr>
          <w:rFonts w:ascii="Times New Roman" w:cs="Times New Roman" w:eastAsia="Times New Roman" w:hAnsi="Times New Roman"/>
          <w:sz w:val="18"/>
          <w:szCs w:val="18"/>
          <w:color w:val="auto"/>
        </w:rPr>
        <w:t>” for the definition of Adjusted EBITDA and required non-GAAP reconciliations.</w:t>
      </w:r>
    </w:p>
    <w:p>
      <w:pPr>
        <w:spacing w:after="0" w:line="2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For the year ended December 31, 2024 compared to the year ended December 31, 2023</w:t>
      </w:r>
    </w:p>
    <w:p>
      <w:pPr>
        <w:spacing w:after="0" w:line="227" w:lineRule="exact"/>
        <w:rPr>
          <w:sz w:val="20"/>
          <w:szCs w:val="20"/>
          <w:color w:val="auto"/>
        </w:rPr>
      </w:pPr>
    </w:p>
    <w:p>
      <w:pPr>
        <w:ind w:left="660" w:right="120" w:hanging="247"/>
        <w:spacing w:after="0" w:line="266" w:lineRule="auto"/>
        <w:tabs>
          <w:tab w:leader="none" w:pos="655" w:val="left"/>
        </w:tabs>
        <w:numPr>
          <w:ilvl w:val="0"/>
          <w:numId w:val="4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Dotdash Meredith Adjusted EBITDA increased 33% to $295.4 million due to an increase in Adjusted EBITDA of $46.4 million from Digital and a decrease in Adjusted EBITDA losses of $36.7 million from Other (unallocated corporate costs), partially offset by a decrease in Adjusted EBITDA of $10.4 million from Print.</w:t>
      </w:r>
    </w:p>
    <w:p>
      <w:pPr>
        <w:spacing w:after="0" w:line="162" w:lineRule="exact"/>
        <w:rPr>
          <w:rFonts w:ascii="Times New Roman" w:cs="Times New Roman" w:eastAsia="Times New Roman" w:hAnsi="Times New Roman"/>
          <w:sz w:val="18"/>
          <w:szCs w:val="18"/>
          <w:i w:val="1"/>
          <w:iCs w:val="1"/>
          <w:color w:val="auto"/>
        </w:rPr>
      </w:pPr>
    </w:p>
    <w:p>
      <w:pPr>
        <w:jc w:val="both"/>
        <w:ind w:left="1300" w:right="60" w:hanging="239"/>
        <w:spacing w:after="0" w:line="250" w:lineRule="auto"/>
        <w:tabs>
          <w:tab w:leader="none" w:pos="1296"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Digital Adjusted EBITDA increase was due primarily to higher revenue, partially offset by higher compensation expense and online marketing spend. The increase in compensation expense is due, in part, to $4.0 million in severance expense in the fourth quarter of 2024 primarily related to headcount reductions intended to better align resources with strategic initiatives.</w:t>
      </w:r>
    </w:p>
    <w:p>
      <w:pPr>
        <w:spacing w:after="0" w:line="190" w:lineRule="exact"/>
        <w:rPr>
          <w:rFonts w:ascii="Times New Roman" w:cs="Times New Roman" w:eastAsia="Times New Roman" w:hAnsi="Times New Roman"/>
          <w:sz w:val="18"/>
          <w:szCs w:val="18"/>
          <w:color w:val="auto"/>
        </w:rPr>
      </w:pPr>
    </w:p>
    <w:p>
      <w:pPr>
        <w:ind w:left="1300" w:right="60" w:hanging="239"/>
        <w:spacing w:after="0" w:line="241" w:lineRule="auto"/>
        <w:tabs>
          <w:tab w:leader="none" w:pos="1296"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(unallocated corporate costs) Adjusted EBITDA loss decrease was due primarily to the inclusion in the first quarter of 2023 of an impairment charge of $44.7 million of an ROU asset related to unoccupied lease space and the inclusion in the first quarter of 2024 of a $2.3 million gain recognized on the sale of an aircraft, partially offset by an increase in compensation expense and a decrease in expense in 2023 of $8.0 million due to the reversal of certain pre-acquisition indemnification liabilities related to the 2021 Meredith acquisition. The increase in compensation expense is due, in part, to $2.5 million in severance expense in the fourth quarter of 2024 primarily related to headcount reductions intended to better align resources with strategic initiatives.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63" w:name="page64"/>
    <w:bookmarkEnd w:id="63"/>
    <w:p>
      <w:pPr>
        <w:ind w:left="887" w:right="120" w:hanging="239"/>
        <w:spacing w:after="0" w:line="266" w:lineRule="auto"/>
        <w:tabs>
          <w:tab w:leader="none" w:pos="883"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Print Adjusted EBITDA decrease was due primarily to revenue declines and $6.4 million in severance expense in the fourth quarter of 2024 primarily related to headcount reductions intended to better align resources with strategic initiatives.</w:t>
      </w:r>
    </w:p>
    <w:p>
      <w:pPr>
        <w:spacing w:after="0" w:line="202" w:lineRule="exact"/>
        <w:rPr>
          <w:rFonts w:ascii="Times New Roman" w:cs="Times New Roman" w:eastAsia="Times New Roman" w:hAnsi="Times New Roman"/>
          <w:sz w:val="18"/>
          <w:szCs w:val="18"/>
          <w:color w:val="auto"/>
        </w:rPr>
      </w:pPr>
    </w:p>
    <w:p>
      <w:pPr>
        <w:ind w:left="247" w:right="80" w:hanging="247"/>
        <w:spacing w:after="0" w:line="282" w:lineRule="auto"/>
        <w:tabs>
          <w:tab w:leader="none" w:pos="24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Angi Adjusted EBITDA increased 23% to $145.3 million due to an increase in Adjusted EBITDA of $33.0 million from Ads and Leads, partially offset by an increase in Adjusted EBITDA losses of $5.4 million from Other (corporate unallocated costs).</w:t>
      </w:r>
    </w:p>
    <w:p>
      <w:pPr>
        <w:spacing w:after="0" w:line="148" w:lineRule="exact"/>
        <w:rPr>
          <w:rFonts w:ascii="Times New Roman" w:cs="Times New Roman" w:eastAsia="Times New Roman" w:hAnsi="Times New Roman"/>
          <w:sz w:val="18"/>
          <w:szCs w:val="18"/>
          <w:color w:val="auto"/>
        </w:rPr>
      </w:pPr>
    </w:p>
    <w:p>
      <w:pPr>
        <w:ind w:left="887" w:hanging="239"/>
        <w:spacing w:after="0" w:line="245" w:lineRule="auto"/>
        <w:tabs>
          <w:tab w:leader="none" w:pos="884"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Ads and Leads Adjusted EBITDA increase was due primarily to lower selling and marketing expense due to improved marketing efficiency and lower general administrative expense due primarily to decreases in the provision for credit losses, software license and maintenance costs and third-party wages, partially offset by impairment charges of $6.8 million recognized in 2024 of ROU assets related to Angi reducing its real estate footprint.</w:t>
      </w:r>
    </w:p>
    <w:p>
      <w:pPr>
        <w:spacing w:after="0" w:line="207" w:lineRule="exact"/>
        <w:rPr>
          <w:rFonts w:ascii="Times New Roman" w:cs="Times New Roman" w:eastAsia="Times New Roman" w:hAnsi="Times New Roman"/>
          <w:sz w:val="18"/>
          <w:szCs w:val="18"/>
          <w:color w:val="auto"/>
        </w:rPr>
      </w:pPr>
    </w:p>
    <w:p>
      <w:pPr>
        <w:ind w:left="887" w:hanging="239"/>
        <w:spacing w:after="0"/>
        <w:tabs>
          <w:tab w:leader="none" w:pos="887"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(corporate unallocated costs) Adjusted EBITDA losses increase was due primarily to an increase in compensation expense.</w:t>
      </w:r>
    </w:p>
    <w:p>
      <w:pPr>
        <w:spacing w:after="0" w:line="225" w:lineRule="exact"/>
        <w:rPr>
          <w:rFonts w:ascii="Times New Roman" w:cs="Times New Roman" w:eastAsia="Times New Roman" w:hAnsi="Times New Roman"/>
          <w:sz w:val="18"/>
          <w:szCs w:val="18"/>
          <w:color w:val="auto"/>
        </w:rPr>
      </w:pPr>
    </w:p>
    <w:p>
      <w:pPr>
        <w:ind w:left="247" w:right="20" w:hanging="247"/>
        <w:spacing w:after="0" w:line="266" w:lineRule="auto"/>
        <w:tabs>
          <w:tab w:leader="none" w:pos="24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Care.com Adjusted EBITDA decreased 20% to $45.2 million due primarily to an increase of $18.7 million related to the resolution of certain legal matters.</w:t>
      </w:r>
    </w:p>
    <w:p>
      <w:pPr>
        <w:spacing w:after="0" w:line="175" w:lineRule="exact"/>
        <w:rPr>
          <w:rFonts w:ascii="Times New Roman" w:cs="Times New Roman" w:eastAsia="Times New Roman" w:hAnsi="Times New Roman"/>
          <w:sz w:val="18"/>
          <w:szCs w:val="18"/>
          <w:color w:val="auto"/>
        </w:rPr>
      </w:pPr>
    </w:p>
    <w:p>
      <w:pPr>
        <w:ind w:left="247" w:right="240" w:hanging="247"/>
        <w:spacing w:after="0" w:line="282" w:lineRule="auto"/>
        <w:tabs>
          <w:tab w:leader="none" w:pos="24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Search Adjusted EBITDA decreased 60% to $17.5 million due primarily to lower revenue, partially offset by lower traffic acquisition costs and selling and marketing expense.</w:t>
      </w:r>
    </w:p>
    <w:p>
      <w:pPr>
        <w:spacing w:after="0" w:line="161" w:lineRule="exact"/>
        <w:rPr>
          <w:rFonts w:ascii="Times New Roman" w:cs="Times New Roman" w:eastAsia="Times New Roman" w:hAnsi="Times New Roman"/>
          <w:sz w:val="18"/>
          <w:szCs w:val="18"/>
          <w:color w:val="auto"/>
        </w:rPr>
      </w:pPr>
    </w:p>
    <w:p>
      <w:pPr>
        <w:ind w:left="247" w:right="100" w:hanging="247"/>
        <w:spacing w:after="0" w:line="261" w:lineRule="auto"/>
        <w:tabs>
          <w:tab w:leader="none" w:pos="24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Emerging &amp; Other Adjusted EBITDA losses increased 151% to $36.0 million due primarily to $16.5 million in severance expense and transaction-related costs related to the sale of assets of Mosaic Group on February 15, 2024 and an increase of $8.1 million in legal fees, partially off by reduced losses at Newco (IAC's former incubator company), The Daily Beast and Vivian Health, and the inclusion in the prior year period of $2.9 million of losses from Roofing, which was sold on November 1, 2023.</w:t>
      </w:r>
    </w:p>
    <w:p>
      <w:pPr>
        <w:spacing w:after="0" w:line="179" w:lineRule="exact"/>
        <w:rPr>
          <w:rFonts w:ascii="Times New Roman" w:cs="Times New Roman" w:eastAsia="Times New Roman" w:hAnsi="Times New Roman"/>
          <w:sz w:val="18"/>
          <w:szCs w:val="18"/>
          <w:color w:val="auto"/>
        </w:rPr>
      </w:pPr>
    </w:p>
    <w:p>
      <w:pPr>
        <w:ind w:left="247" w:right="60" w:hanging="247"/>
        <w:spacing w:after="0" w:line="282" w:lineRule="auto"/>
        <w:tabs>
          <w:tab w:leader="none" w:pos="24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Adjusted EBITDA loss decreased 3% to $87.7 million due primarily to a $10.0 million benefit in 2024 related to a favorable settlement of a legal matter, partially offset by $3.3 million of transaction-related costs related to the proposed Distribution.</w:t>
      </w:r>
    </w:p>
    <w:p>
      <w:pPr>
        <w:spacing w:after="0" w:line="160"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i w:val="1"/>
          <w:iCs w:val="1"/>
          <w:color w:val="auto"/>
        </w:rPr>
        <w:t>For the year ended December 31, 2023 compared to the year ended December 31, 2022</w:t>
      </w:r>
    </w:p>
    <w:p>
      <w:pPr>
        <w:spacing w:after="0" w:line="227" w:lineRule="exact"/>
        <w:rPr>
          <w:sz w:val="20"/>
          <w:szCs w:val="20"/>
          <w:color w:val="auto"/>
        </w:rPr>
      </w:pPr>
    </w:p>
    <w:p>
      <w:pPr>
        <w:ind w:left="247" w:right="540" w:hanging="247"/>
        <w:spacing w:after="0" w:line="266" w:lineRule="auto"/>
        <w:tabs>
          <w:tab w:leader="none" w:pos="24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Dotdash Meredith Adjusted EBITDA increased $70.6 million to $222.8 million due to increases in Adjusted EBITDA of $56.3 million and $33.1 million from Digital and Print, respectively, partially offset by an increase in Adjusted EBITDA losses of $18.8 million from Other (unallocated corporate costs).</w:t>
      </w:r>
    </w:p>
    <w:p>
      <w:pPr>
        <w:spacing w:after="0" w:line="162" w:lineRule="exact"/>
        <w:rPr>
          <w:rFonts w:ascii="Times New Roman" w:cs="Times New Roman" w:eastAsia="Times New Roman" w:hAnsi="Times New Roman"/>
          <w:sz w:val="18"/>
          <w:szCs w:val="18"/>
          <w:color w:val="auto"/>
        </w:rPr>
      </w:pPr>
    </w:p>
    <w:p>
      <w:pPr>
        <w:ind w:left="887" w:right="140" w:hanging="239"/>
        <w:spacing w:after="0" w:line="250" w:lineRule="auto"/>
        <w:tabs>
          <w:tab w:leader="none" w:pos="883"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Digital Adjusted EBITDA increase was due primarily to decreases in traffic acquisition costs, compensation expense and the inclusion in 2022 of $33.3 million of restructuring charges and transaction-related expenses, including a $14.3 million impairment of an ROU asset related to the consolidation of certain leased spaces following the Meredith acquisition.</w:t>
      </w:r>
    </w:p>
    <w:p>
      <w:pPr>
        <w:spacing w:after="0" w:line="217" w:lineRule="exact"/>
        <w:rPr>
          <w:rFonts w:ascii="Times New Roman" w:cs="Times New Roman" w:eastAsia="Times New Roman" w:hAnsi="Times New Roman"/>
          <w:sz w:val="18"/>
          <w:szCs w:val="18"/>
          <w:color w:val="auto"/>
        </w:rPr>
      </w:pPr>
    </w:p>
    <w:p>
      <w:pPr>
        <w:ind w:left="887" w:right="860" w:hanging="239"/>
        <w:spacing w:after="0" w:line="282" w:lineRule="auto"/>
        <w:tabs>
          <w:tab w:leader="none" w:pos="883"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Print Adjusted EBITDA increase was due primarily to the inclusion in 2022 of $34.8 million of restructuring charges and transaction-related expenses.</w:t>
      </w:r>
    </w:p>
    <w:p>
      <w:pPr>
        <w:spacing w:after="0" w:line="161" w:lineRule="exact"/>
        <w:rPr>
          <w:rFonts w:ascii="Times New Roman" w:cs="Times New Roman" w:eastAsia="Times New Roman" w:hAnsi="Times New Roman"/>
          <w:sz w:val="18"/>
          <w:szCs w:val="18"/>
          <w:color w:val="auto"/>
        </w:rPr>
      </w:pPr>
    </w:p>
    <w:p>
      <w:pPr>
        <w:ind w:left="887" w:right="160" w:hanging="239"/>
        <w:spacing w:after="0" w:line="261" w:lineRule="auto"/>
        <w:tabs>
          <w:tab w:leader="none" w:pos="883"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(unallocated corporate costs) Adjusted EBITDA loss increase was due primarily to an impairment charge of $44.7 million of an ROU asset related to unoccupied lease space recognized in the first quarter of 2023, partially offset by the inclusion in 2022 of $12.3 million of restructuring charges and transaction-related expenses and a decrease in expense in 2023 of $8.0 million due to the reversal of certain pre-acquisition indemnification liabilities related to the 2021 Meredith acquisition.</w:t>
      </w:r>
    </w:p>
    <w:p>
      <w:pPr>
        <w:spacing w:after="0" w:line="180" w:lineRule="exact"/>
        <w:rPr>
          <w:sz w:val="20"/>
          <w:szCs w:val="20"/>
          <w:color w:val="auto"/>
        </w:rPr>
      </w:pPr>
    </w:p>
    <w:p>
      <w:pPr>
        <w:ind w:left="247" w:right="220"/>
        <w:spacing w:after="0" w:line="266"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u w:val="single" w:color="auto"/>
          <w:color w:val="0000FF"/>
        </w:rPr>
        <w:t>Note 2—Summary of Significant Accounting Policies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0000FF"/>
        </w:rPr>
        <w:t>Note 17—Dotdash Meredith Restructuring Charges, Transaction-Related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Expenses and Change-In-Control Payments</w:t>
      </w:r>
      <w:r>
        <w:rPr>
          <w:rFonts w:ascii="Times New Roman" w:cs="Times New Roman" w:eastAsia="Times New Roman" w:hAnsi="Times New Roman"/>
          <w:sz w:val="18"/>
          <w:szCs w:val="18"/>
          <w:color w:val="000000"/>
        </w:rPr>
        <w:t>” to the financial statements included in “</w:t>
      </w:r>
      <w:r>
        <w:rPr>
          <w:rFonts w:ascii="Times New Roman" w:cs="Times New Roman" w:eastAsia="Times New Roman" w:hAnsi="Times New Roman"/>
          <w:sz w:val="18"/>
          <w:szCs w:val="18"/>
          <w:u w:val="single" w:color="auto"/>
          <w:color w:val="0000FF"/>
        </w:rPr>
        <w:t>Item 8. Financial Statements and Supplementary Data</w:t>
      </w:r>
      <w:r>
        <w:rPr>
          <w:rFonts w:ascii="Times New Roman" w:cs="Times New Roman" w:eastAsia="Times New Roman" w:hAnsi="Times New Roman"/>
          <w:sz w:val="18"/>
          <w:szCs w:val="18"/>
          <w:color w:val="000000"/>
        </w:rPr>
        <w:t>” for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additional information on impairment and restructuring charges, respectively.</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73"/>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-269240</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7"/>
          </w:cols>
          <w:pgMar w:left="733" w:top="1093" w:right="359" w:bottom="1440" w:gutter="0" w:footer="0" w:header="0"/>
        </w:sectPr>
      </w:pPr>
    </w:p>
    <w:bookmarkStart w:id="64" w:name="page65"/>
    <w:bookmarkEnd w:id="64"/>
    <w:p>
      <w:pPr>
        <w:ind w:left="660" w:hanging="247"/>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Angi Adjusted EBITDA increased $52.0 million to $118.5 million due primarily to increases in Adjusted EBITDA of $60.2 million and</w:t>
      </w:r>
    </w:p>
    <w:p>
      <w:pPr>
        <w:spacing w:after="0" w:line="27" w:lineRule="exact"/>
        <w:rPr>
          <w:rFonts w:ascii="Times New Roman" w:cs="Times New Roman" w:eastAsia="Times New Roman" w:hAnsi="Times New Roman"/>
          <w:sz w:val="18"/>
          <w:szCs w:val="18"/>
          <w:color w:val="auto"/>
        </w:rPr>
      </w:pPr>
    </w:p>
    <w:p>
      <w:pPr>
        <w:ind w:left="660" w:right="3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$13.6 million from Services and International, respectively, partially offset by a decrease in Adjusted EBITDA of $21.6 million from Ads and Leads.</w:t>
      </w:r>
    </w:p>
    <w:p>
      <w:pPr>
        <w:spacing w:after="0" w:line="181" w:lineRule="exact"/>
        <w:rPr>
          <w:rFonts w:ascii="Times New Roman" w:cs="Times New Roman" w:eastAsia="Times New Roman" w:hAnsi="Times New Roman"/>
          <w:sz w:val="18"/>
          <w:szCs w:val="18"/>
          <w:color w:val="auto"/>
        </w:rPr>
      </w:pPr>
    </w:p>
    <w:p>
      <w:pPr>
        <w:ind w:left="1300" w:right="220" w:hanging="239"/>
        <w:spacing w:after="0" w:line="282" w:lineRule="auto"/>
        <w:tabs>
          <w:tab w:leader="none" w:pos="1296"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Services Adjusted EBITDA increase was due primarily to pricing and fulfillment optimization efforts over the past year and lower operating expenses due to a reduced overall cost base as a result of a shift away from complex and less profitable offerings.</w:t>
      </w:r>
    </w:p>
    <w:p>
      <w:pPr>
        <w:spacing w:after="0" w:line="161" w:lineRule="exact"/>
        <w:rPr>
          <w:rFonts w:ascii="Times New Roman" w:cs="Times New Roman" w:eastAsia="Times New Roman" w:hAnsi="Times New Roman"/>
          <w:sz w:val="18"/>
          <w:szCs w:val="18"/>
          <w:color w:val="auto"/>
        </w:rPr>
      </w:pPr>
    </w:p>
    <w:p>
      <w:pPr>
        <w:ind w:left="1300" w:hanging="239"/>
        <w:spacing w:after="0" w:line="282" w:lineRule="auto"/>
        <w:tabs>
          <w:tab w:leader="none" w:pos="1296"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International Adjusted EBITDA increase was due primarily to an increase in revenue and lower selling and marketing expense due to more efficient marketing spend.</w:t>
      </w:r>
    </w:p>
    <w:p>
      <w:pPr>
        <w:spacing w:after="0" w:line="161" w:lineRule="exact"/>
        <w:rPr>
          <w:rFonts w:ascii="Times New Roman" w:cs="Times New Roman" w:eastAsia="Times New Roman" w:hAnsi="Times New Roman"/>
          <w:sz w:val="18"/>
          <w:szCs w:val="18"/>
          <w:color w:val="auto"/>
        </w:rPr>
      </w:pPr>
    </w:p>
    <w:p>
      <w:pPr>
        <w:ind w:left="1300" w:right="40" w:hanging="239"/>
        <w:spacing w:after="0" w:line="261" w:lineRule="auto"/>
        <w:tabs>
          <w:tab w:leader="none" w:pos="1296"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Ads and Leads Adjusted EBITDA decrease was due primarily to lower revenue, partially offset by lower general and administrative expense due to a decrease in the provision for credit losses, a decrease in legal expense due, in part, to a $10.9 million benefit in 2023 related to insurance coverage for previously incurred legal fees, and a decrease in compensation expense and lower selling and marketing expense due to improved marketing efficiency.</w:t>
      </w:r>
    </w:p>
    <w:p>
      <w:pPr>
        <w:spacing w:after="0" w:line="179" w:lineRule="exact"/>
        <w:rPr>
          <w:rFonts w:ascii="Times New Roman" w:cs="Times New Roman" w:eastAsia="Times New Roman" w:hAnsi="Times New Roman"/>
          <w:sz w:val="18"/>
          <w:szCs w:val="18"/>
          <w:color w:val="auto"/>
        </w:rPr>
      </w:pPr>
    </w:p>
    <w:p>
      <w:pPr>
        <w:ind w:left="660" w:right="80" w:hanging="247"/>
        <w:spacing w:after="0" w:line="258"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Care.com Adjusted EBITDA increased $9.3 million to $56.2 million due primarily to higher revenue and lower product development expense resulting from lower outsourced personnel costs and software license and maintenance expense, partially offset by an increase in general administrative expense due primarily to the inclusion in the prior year period of a $3.2 million gain related to the termination of a lease and $2.3 million in impairment charges related to ROU assets in 2023, partially offset by a decrease of $1.6 million in non-payroll related taxes related to a sales tax refund received in 2023.</w:t>
      </w:r>
    </w:p>
    <w:p>
      <w:pPr>
        <w:spacing w:after="0" w:line="183" w:lineRule="exact"/>
        <w:rPr>
          <w:rFonts w:ascii="Times New Roman" w:cs="Times New Roman" w:eastAsia="Times New Roman" w:hAnsi="Times New Roman"/>
          <w:sz w:val="18"/>
          <w:szCs w:val="18"/>
          <w:color w:val="auto"/>
        </w:rPr>
      </w:pPr>
    </w:p>
    <w:p>
      <w:pPr>
        <w:ind w:left="660" w:right="400" w:hanging="247"/>
        <w:spacing w:after="0" w:line="282"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Search Adjusted EBITDA decreased 47% to $44.3 million due primarily to lower revenue resulting from a reduction in marketing by affiliate partners driving fewer visitors to ad supported search and content websites and the wind-down of the B2C business.</w:t>
      </w:r>
    </w:p>
    <w:p>
      <w:pPr>
        <w:spacing w:after="0" w:line="161" w:lineRule="exact"/>
        <w:rPr>
          <w:rFonts w:ascii="Times New Roman" w:cs="Times New Roman" w:eastAsia="Times New Roman" w:hAnsi="Times New Roman"/>
          <w:sz w:val="18"/>
          <w:szCs w:val="18"/>
          <w:color w:val="auto"/>
        </w:rPr>
      </w:pPr>
    </w:p>
    <w:p>
      <w:pPr>
        <w:ind w:left="660" w:hanging="247"/>
        <w:spacing w:after="0" w:line="256"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Emerging &amp; Other Adjusted EBITDA loss decreased $55.6 million to a loss of $14.4 million due primarily to the sale of Bluecrew, which had Adjusted EBITDA losses of $23.1 million in the prior year period, reduced losses of $18.5 million at Roofing due primarily to a strategic shift of operations to select markets prior to its sale on November 1, 2023, higher profits at Mosaic Group, the inclusion in the second quarter of 2022 of a $9.8 million charge at Vivian Health related to the sale of equity interests held by certain members of its management and the settlement of certain employee stock-based awards in conjunction with an equity raise in the second quarter of 2022 and lower losses at Newco (IAC's former incubator company).</w:t>
      </w:r>
    </w:p>
    <w:p>
      <w:pPr>
        <w:spacing w:after="0" w:line="18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Adjusted EBITDA loss increased $11.4 million to $90.9 million due primarily to increased compensation expense.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60" w:type="dxa"/>
            <w:vAlign w:val="bottom"/>
            <w:gridSpan w:val="5"/>
          </w:tcPr>
          <w:p>
            <w:pPr>
              <w:jc w:val="center"/>
              <w:ind w:left="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3"/>
        </w:trPr>
        <w:tc>
          <w:tcPr>
            <w:tcW w:w="20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5"/>
          </w:tcPr>
          <w:p>
            <w:pPr>
              <w:spacing w:after="0"/>
              <w:rPr>
                <w:sz w:val="2"/>
                <w:szCs w:val="2"/>
                <w:color w:val="auto"/>
              </w:rPr>
            </w:pPr>
          </w:p>
        </w:tc>
        <w:tc>
          <w:tcPr>
            <w:tcW w:w="2020" w:type="dxa"/>
            <w:vAlign w:val="bottom"/>
            <w:tcBorders>
              <w:bottom w:val="single" w:sz="8" w:color="auto"/>
            </w:tcBorders>
            <w:gridSpan w:val="3"/>
          </w:tcPr>
          <w:p>
            <w:pPr>
              <w:spacing w:after="0"/>
              <w:rPr>
                <w:sz w:val="2"/>
                <w:szCs w:val="2"/>
                <w:color w:val="auto"/>
              </w:rPr>
            </w:pPr>
          </w:p>
        </w:tc>
      </w:tr>
      <w:tr>
        <w:trPr>
          <w:trHeight w:val="190"/>
        </w:trPr>
        <w:tc>
          <w:tcPr>
            <w:tcW w:w="2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60" w:type="dxa"/>
            <w:vAlign w:val="bottom"/>
            <w:gridSpan w:val="5"/>
          </w:tcPr>
          <w:p>
            <w:pPr>
              <w:jc w:val="right"/>
              <w:ind w:right="1080"/>
              <w:spacing w:after="0"/>
              <w:rPr>
                <w:sz w:val="20"/>
                <w:szCs w:val="20"/>
                <w:color w:val="auto"/>
              </w:rPr>
            </w:pPr>
            <w:r>
              <w:rPr>
                <w:rFonts w:ascii="Times New Roman" w:cs="Times New Roman" w:eastAsia="Times New Roman" w:hAnsi="Times New Roman"/>
                <w:sz w:val="14"/>
                <w:szCs w:val="14"/>
                <w:b w:val="1"/>
                <w:bCs w:val="1"/>
                <w:color w:val="auto"/>
              </w:rPr>
              <w:t>2024 Change</w:t>
            </w:r>
          </w:p>
        </w:tc>
        <w:tc>
          <w:tcPr>
            <w:tcW w:w="202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2023 Change</w:t>
            </w:r>
          </w:p>
        </w:tc>
      </w:tr>
      <w:tr>
        <w:trPr>
          <w:trHeight w:val="196"/>
        </w:trPr>
        <w:tc>
          <w:tcPr>
            <w:tcW w:w="206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Borders>
              <w:top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89"/>
        </w:trPr>
        <w:tc>
          <w:tcPr>
            <w:tcW w:w="2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340" w:type="dxa"/>
            <w:vAlign w:val="bottom"/>
            <w:gridSpan w:val="4"/>
          </w:tcPr>
          <w:p>
            <w:pPr>
              <w:jc w:val="center"/>
              <w:ind w:left="124"/>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29"/>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157,632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110,165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12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  $</w:t>
            </w:r>
          </w:p>
        </w:tc>
        <w:tc>
          <w:tcPr>
            <w:tcW w:w="9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47,467</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43%</w:t>
            </w:r>
          </w:p>
        </w:tc>
      </w:tr>
    </w:tbl>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For the year ended December 31, 2024 compared to the year ended December 31, 2023</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Interest expense in 2024 decreased from 2023 due primarily to a decrease in the amount of debt outstanding under the Dotdash Meredith Term Loans.</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For the year ended December 31, 2023 compared to the year ended December 31, 2022</w:t>
      </w:r>
    </w:p>
    <w:p>
      <w:pPr>
        <w:spacing w:after="0" w:line="2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Interest expense in 2023 increased from 2022 due primarily to an increase in average interest rates on the Dotdash Meredith Term Loans.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Unrealized (loss) gain on investment in MGM Resorts International (“MGM”)</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190"/>
        </w:trPr>
        <w:tc>
          <w:tcPr>
            <w:tcW w:w="3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00" w:type="dxa"/>
            <w:vAlign w:val="bottom"/>
            <w:gridSpan w:val="5"/>
          </w:tcPr>
          <w:p>
            <w:pPr>
              <w:jc w:val="center"/>
              <w:ind w:left="56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3"/>
        </w:trPr>
        <w:tc>
          <w:tcPr>
            <w:tcW w:w="30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5"/>
          </w:tcPr>
          <w:p>
            <w:pPr>
              <w:spacing w:after="0"/>
              <w:rPr>
                <w:sz w:val="2"/>
                <w:szCs w:val="2"/>
                <w:color w:val="auto"/>
              </w:rPr>
            </w:pPr>
          </w:p>
        </w:tc>
        <w:tc>
          <w:tcPr>
            <w:tcW w:w="2020" w:type="dxa"/>
            <w:vAlign w:val="bottom"/>
            <w:tcBorders>
              <w:bottom w:val="single" w:sz="8" w:color="auto"/>
            </w:tcBorders>
            <w:gridSpan w:val="3"/>
          </w:tcPr>
          <w:p>
            <w:pPr>
              <w:spacing w:after="0"/>
              <w:rPr>
                <w:sz w:val="2"/>
                <w:szCs w:val="2"/>
                <w:color w:val="auto"/>
              </w:rPr>
            </w:pPr>
          </w:p>
        </w:tc>
      </w:tr>
      <w:tr>
        <w:trPr>
          <w:trHeight w:val="190"/>
        </w:trPr>
        <w:tc>
          <w:tcPr>
            <w:tcW w:w="3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8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2024 Change</w:t>
            </w:r>
          </w:p>
        </w:tc>
        <w:tc>
          <w:tcPr>
            <w:tcW w:w="202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2023 Change</w:t>
            </w:r>
          </w:p>
        </w:tc>
      </w:tr>
      <w:tr>
        <w:trPr>
          <w:trHeight w:val="196"/>
        </w:trPr>
        <w:tc>
          <w:tcPr>
            <w:tcW w:w="30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 w:type="dxa"/>
            <w:vAlign w:val="bottom"/>
            <w:tcBorders>
              <w:top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89"/>
        </w:trPr>
        <w:tc>
          <w:tcPr>
            <w:tcW w:w="3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20" w:type="dxa"/>
            <w:vAlign w:val="bottom"/>
            <w:gridSpan w:val="4"/>
          </w:tcPr>
          <w:p>
            <w:pPr>
              <w:jc w:val="center"/>
              <w:ind w:left="644"/>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75"/>
        </w:trPr>
        <w:tc>
          <w:tcPr>
            <w:tcW w:w="30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Unrealized (loss) gain on investment in</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43"/>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MGM Resorts International</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(649,178)</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721,668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(723,515)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(1,370,846)</w:t>
            </w:r>
          </w:p>
        </w:tc>
        <w:tc>
          <w:tcPr>
            <w:tcW w:w="80" w:type="dxa"/>
            <w:vAlign w:val="bottom"/>
            <w:shd w:val="clear" w:color="auto" w:fill="CCEEFF"/>
          </w:tcPr>
          <w:p>
            <w:pPr>
              <w:spacing w:after="0"/>
              <w:rPr>
                <w:sz w:val="21"/>
                <w:szCs w:val="21"/>
                <w:color w:val="auto"/>
              </w:rPr>
            </w:pPr>
          </w:p>
        </w:tc>
        <w:tc>
          <w:tcPr>
            <w:tcW w:w="124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NM  $</w:t>
            </w:r>
          </w:p>
        </w:tc>
        <w:tc>
          <w:tcPr>
            <w:tcW w:w="9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1,445,183</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96"/>
              </w:rPr>
              <w:t>NM</w:t>
            </w:r>
          </w:p>
        </w:tc>
      </w:tr>
    </w:tbl>
    <w:p>
      <w:pPr>
        <w:spacing w:after="0" w:line="292"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In the fourth quarter of 2023, MGM's ongoing share repurchase program passively increased the Company's ownership interest in MGM and the Company determined that the equity method of accounting applied and elected to account for its investment in MGM pursuant to the fair value option. Prior to the fourth quarter of 2023, the Company's investment in MGM was accounted for as an equity security with a readily determinable fair value, with changes in fair value recognized through income each period. Since the Company has always marked its investment in MGM to fair value through income each period, the election of the fair value option resulted in no change to the accounting for its investment in MGM.</w:t>
      </w:r>
    </w:p>
    <w:p>
      <w:pPr>
        <w:spacing w:after="0" w:line="183" w:lineRule="exact"/>
        <w:rPr>
          <w:sz w:val="20"/>
          <w:szCs w:val="20"/>
          <w:color w:val="auto"/>
        </w:rPr>
      </w:pPr>
    </w:p>
    <w:p>
      <w:pPr>
        <w:ind w:right="180" w:firstLine="405"/>
        <w:spacing w:after="0" w:line="266" w:lineRule="auto"/>
        <w:rPr>
          <w:sz w:val="20"/>
          <w:szCs w:val="20"/>
          <w:color w:val="auto"/>
        </w:rPr>
      </w:pPr>
      <w:r>
        <w:rPr>
          <w:rFonts w:ascii="Times New Roman" w:cs="Times New Roman" w:eastAsia="Times New Roman" w:hAnsi="Times New Roman"/>
          <w:sz w:val="18"/>
          <w:szCs w:val="18"/>
          <w:color w:val="auto"/>
        </w:rPr>
        <w:t>The unrealized pre-tax (losses) and gains from the Company's investment in MGM were due to changes in the stock price of MGM's common stock as reported on the New York Stock Exchange. Based on the number of MGM common shares outstanding at December 31, 2024, the Company owns approximately 22.0% of MGM.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740" w:type="dxa"/>
            <w:vAlign w:val="bottom"/>
            <w:gridSpan w:val="5"/>
          </w:tcPr>
          <w:p>
            <w:pPr>
              <w:jc w:val="center"/>
              <w:ind w:left="89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
        </w:trPr>
        <w:tc>
          <w:tcPr>
            <w:tcW w:w="66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66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6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2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6"/>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86,495</w:t>
            </w:r>
          </w:p>
        </w:tc>
        <w:tc>
          <w:tcPr>
            <w:tcW w:w="4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71,114</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24,916</w:t>
            </w:r>
          </w:p>
        </w:tc>
      </w:tr>
      <w:tr>
        <w:trPr>
          <w:trHeight w:val="22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increase (decrease) in the estimated fair value of a warrant</w:t>
            </w:r>
          </w:p>
        </w:tc>
        <w:tc>
          <w:tcPr>
            <w:tcW w:w="440" w:type="dxa"/>
            <w:vAlign w:val="bottom"/>
          </w:tcPr>
          <w:p>
            <w:pPr>
              <w:spacing w:after="0"/>
              <w:rPr>
                <w:sz w:val="19"/>
                <w:szCs w:val="19"/>
                <w:color w:val="auto"/>
              </w:rPr>
            </w:pPr>
          </w:p>
        </w:tc>
        <w:tc>
          <w:tcPr>
            <w:tcW w:w="11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20,393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(62,495)</w:t>
            </w:r>
          </w:p>
        </w:tc>
      </w:tr>
      <w:tr>
        <w:trPr>
          <w:trHeight w:val="176"/>
        </w:trPr>
        <w:tc>
          <w:tcPr>
            <w:tcW w:w="66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Net realized gain (loss) on sales of businesses and investments and (downward) upward</w:t>
            </w:r>
          </w:p>
        </w:tc>
        <w:tc>
          <w:tcPr>
            <w:tcW w:w="4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75"/>
        </w:trPr>
        <w:tc>
          <w:tcPr>
            <w:tcW w:w="66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adjustments to the carrying value of equity securities without readily determinable fair</w:t>
            </w:r>
          </w:p>
        </w:tc>
        <w:tc>
          <w:tcPr>
            <w:tcW w:w="4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43"/>
        </w:trPr>
        <w:tc>
          <w:tcPr>
            <w:tcW w:w="664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28"/>
                <w:szCs w:val="28"/>
                <w:color w:val="auto"/>
                <w:vertAlign w:val="subscript"/>
              </w:rPr>
              <w:t>values</w:t>
            </w:r>
            <w:r>
              <w:rPr>
                <w:rFonts w:ascii="Times New Roman" w:cs="Times New Roman" w:eastAsia="Times New Roman" w:hAnsi="Times New Roman"/>
                <w:sz w:val="11"/>
                <w:szCs w:val="11"/>
                <w:color w:val="auto"/>
              </w:rPr>
              <w:t>(a)(b)(c)</w:t>
            </w:r>
          </w:p>
        </w:tc>
        <w:tc>
          <w:tcPr>
            <w:tcW w:w="4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10,373</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59,299</w:t>
            </w:r>
          </w:p>
        </w:tc>
      </w:tr>
      <w:tr>
        <w:trPr>
          <w:trHeight w:val="230"/>
        </w:trPr>
        <w:tc>
          <w:tcPr>
            <w:tcW w:w="66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Net periodic pension benefit credit (costs), other than the service cost component</w:t>
            </w:r>
            <w:r>
              <w:rPr>
                <w:rFonts w:ascii="Times New Roman" w:cs="Times New Roman" w:eastAsia="Times New Roman" w:hAnsi="Times New Roman"/>
                <w:sz w:val="23"/>
                <w:szCs w:val="23"/>
                <w:color w:val="auto"/>
                <w:vertAlign w:val="superscript"/>
              </w:rPr>
              <w:t>(d)</w:t>
            </w:r>
          </w:p>
        </w:tc>
        <w:tc>
          <w:tcPr>
            <w:tcW w:w="440" w:type="dxa"/>
            <w:vAlign w:val="bottom"/>
          </w:tcPr>
          <w:p>
            <w:pPr>
              <w:spacing w:after="0"/>
              <w:rPr>
                <w:sz w:val="19"/>
                <w:szCs w:val="19"/>
                <w:color w:val="auto"/>
              </w:rPr>
            </w:pPr>
          </w:p>
        </w:tc>
        <w:tc>
          <w:tcPr>
            <w:tcW w:w="11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5,656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(206,422)</w:t>
            </w:r>
          </w:p>
        </w:tc>
      </w:tr>
      <w:tr>
        <w:trPr>
          <w:trHeight w:val="23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 (loss) related to marketable equity securities</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(20,342)</w:t>
            </w:r>
          </w:p>
        </w:tc>
      </w:tr>
      <w:tr>
        <w:trPr>
          <w:trHeight w:val="230"/>
        </w:trPr>
        <w:tc>
          <w:tcPr>
            <w:tcW w:w="66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Dotdash Meredith Credit Agreement amendment fees</w:t>
            </w:r>
            <w:r>
              <w:rPr>
                <w:rFonts w:ascii="Times New Roman" w:cs="Times New Roman" w:eastAsia="Times New Roman" w:hAnsi="Times New Roman"/>
                <w:sz w:val="23"/>
                <w:szCs w:val="23"/>
                <w:color w:val="auto"/>
                <w:vertAlign w:val="superscript"/>
              </w:rPr>
              <w:t>(e)</w:t>
            </w:r>
          </w:p>
        </w:tc>
        <w:tc>
          <w:tcPr>
            <w:tcW w:w="440" w:type="dxa"/>
            <w:vAlign w:val="bottom"/>
          </w:tcPr>
          <w:p>
            <w:pPr>
              <w:spacing w:after="0"/>
              <w:rPr>
                <w:sz w:val="19"/>
                <w:szCs w:val="19"/>
                <w:color w:val="auto"/>
              </w:rPr>
            </w:pPr>
          </w:p>
        </w:tc>
        <w:tc>
          <w:tcPr>
            <w:tcW w:w="112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(3,453)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(losses) gains, net</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(2,588)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(8,503)</w:t>
            </w:r>
          </w:p>
        </w:tc>
      </w:tr>
      <w:tr>
        <w:trPr>
          <w:trHeight w:val="230"/>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(4,238)</w:t>
            </w:r>
          </w:p>
        </w:tc>
      </w:tr>
      <w:tr>
        <w:trPr>
          <w:trHeight w:val="248"/>
        </w:trPr>
        <w:tc>
          <w:tcPr>
            <w:tcW w:w="66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116,897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(217,785)</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66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80" w:type="dxa"/>
            <w:vAlign w:val="bottom"/>
          </w:tcPr>
          <w:p>
            <w:pPr>
              <w:spacing w:after="0"/>
              <w:rPr>
                <w:sz w:val="4"/>
                <w:szCs w:val="4"/>
                <w:color w:val="auto"/>
              </w:rPr>
            </w:pPr>
          </w:p>
        </w:tc>
      </w:tr>
      <w:tr>
        <w:trPr>
          <w:trHeight w:val="230"/>
        </w:trPr>
        <w:tc>
          <w:tcPr>
            <w:tcW w:w="6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Change</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53,035</w:t>
            </w:r>
          </w:p>
        </w:tc>
        <w:tc>
          <w:tcPr>
            <w:tcW w:w="4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4"/>
        </w:trPr>
        <w:tc>
          <w:tcPr>
            <w:tcW w:w="6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Change</w:t>
            </w:r>
          </w:p>
        </w:tc>
        <w:tc>
          <w:tcPr>
            <w:tcW w:w="4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NM</w:t>
            </w: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221" w:lineRule="exact"/>
        <w:rPr>
          <w:sz w:val="20"/>
          <w:szCs w:val="20"/>
          <w:color w:val="auto"/>
        </w:rPr>
      </w:pPr>
    </w:p>
    <w:p>
      <w:pPr>
        <w:ind w:left="660" w:right="80" w:hanging="328"/>
        <w:spacing w:after="0" w:line="282" w:lineRule="auto"/>
        <w:tabs>
          <w:tab w:leader="none" w:pos="583" w:val="left"/>
        </w:tabs>
        <w:numPr>
          <w:ilvl w:val="0"/>
          <w:numId w:val="4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downward and upward adjustments to the carrying value of equity securities without readily determinable fair values. For the years ended December 31, 2024, 2023 and 2022, the Company recorded net downward adjustments of $32.3 million, $20.2 million and $89.1 million, respectively.</w:t>
      </w:r>
    </w:p>
    <w:p>
      <w:pPr>
        <w:spacing w:after="0" w:line="53" w:lineRule="exact"/>
        <w:rPr>
          <w:rFonts w:ascii="Times New Roman" w:cs="Times New Roman" w:eastAsia="Times New Roman" w:hAnsi="Times New Roman"/>
          <w:sz w:val="9"/>
          <w:szCs w:val="9"/>
          <w:color w:val="auto"/>
        </w:rPr>
      </w:pPr>
    </w:p>
    <w:p>
      <w:pPr>
        <w:ind w:left="660" w:right="120" w:hanging="328"/>
        <w:spacing w:after="0" w:line="221" w:lineRule="auto"/>
        <w:tabs>
          <w:tab w:leader="none" w:pos="589" w:val="left"/>
        </w:tabs>
        <w:numPr>
          <w:ilvl w:val="0"/>
          <w:numId w:val="4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a pre-tax gain of $29.2 million on the sale of assets of Mosaic Group, which was included within Emerging &amp; Other, and was accounted for as a sale of a business, in the year ended December 31, 2024.</w:t>
      </w:r>
    </w:p>
    <w:p>
      <w:pPr>
        <w:spacing w:after="0" w:line="82" w:lineRule="exact"/>
        <w:rPr>
          <w:rFonts w:ascii="Times New Roman" w:cs="Times New Roman" w:eastAsia="Times New Roman" w:hAnsi="Times New Roman"/>
          <w:sz w:val="19"/>
          <w:szCs w:val="19"/>
          <w:color w:val="auto"/>
          <w:vertAlign w:val="superscript"/>
        </w:rPr>
      </w:pPr>
    </w:p>
    <w:p>
      <w:pPr>
        <w:ind w:left="660" w:right="340" w:hanging="328"/>
        <w:spacing w:after="0" w:line="227" w:lineRule="auto"/>
        <w:tabs>
          <w:tab w:leader="none" w:pos="475" w:val="left"/>
        </w:tabs>
        <w:numPr>
          <w:ilvl w:val="0"/>
          <w:numId w:val="4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a gain of approximately $132.2 million on the sale of Bluecrew in the year ended December 31, 2022. On November 9, 2022, the Company completed the sale of Bluecrew, which was included within Emerging &amp; Other, to EmployBridge, a provider of light industrial staffing solutions, for cash and stock with the Company becoming a minority shareholder in the combined company.</w:t>
      </w:r>
    </w:p>
    <w:p>
      <w:pPr>
        <w:spacing w:after="0" w:line="82" w:lineRule="exact"/>
        <w:rPr>
          <w:rFonts w:ascii="Times New Roman" w:cs="Times New Roman" w:eastAsia="Times New Roman" w:hAnsi="Times New Roman"/>
          <w:sz w:val="19"/>
          <w:szCs w:val="19"/>
          <w:color w:val="auto"/>
          <w:vertAlign w:val="superscript"/>
        </w:rPr>
      </w:pPr>
    </w:p>
    <w:p>
      <w:pPr>
        <w:ind w:left="660" w:right="20" w:hanging="328"/>
        <w:spacing w:after="0" w:line="233" w:lineRule="auto"/>
        <w:tabs>
          <w:tab w:leader="none" w:pos="589" w:val="left"/>
        </w:tabs>
        <w:numPr>
          <w:ilvl w:val="0"/>
          <w:numId w:val="4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pre-tax actuarial gains (losses) of $6.0 million, $1.7 million and $(213.4) million for the years ended December 31, 2024, 2023 and 2022, respectively, related to the pension plans in the U.S and U.K. See “</w:t>
      </w:r>
      <w:r>
        <w:rPr>
          <w:rFonts w:ascii="Times New Roman" w:cs="Times New Roman" w:eastAsia="Times New Roman" w:hAnsi="Times New Roman"/>
          <w:sz w:val="14"/>
          <w:szCs w:val="14"/>
          <w:u w:val="single" w:color="auto"/>
          <w:color w:val="0000FF"/>
        </w:rPr>
        <w:t>Note 11—Pension and Post-Retirement Benefit Plans</w:t>
      </w:r>
      <w:r>
        <w:rPr>
          <w:rFonts w:ascii="Times New Roman" w:cs="Times New Roman" w:eastAsia="Times New Roman" w:hAnsi="Times New Roman"/>
          <w:sz w:val="14"/>
          <w:szCs w:val="14"/>
          <w:color w:val="auto"/>
        </w:rPr>
        <w:t>” in the accompanying notes to the financial statements included in “</w:t>
      </w:r>
      <w:r>
        <w:rPr>
          <w:rFonts w:ascii="Times New Roman" w:cs="Times New Roman" w:eastAsia="Times New Roman" w:hAnsi="Times New Roman"/>
          <w:sz w:val="14"/>
          <w:szCs w:val="14"/>
          <w:u w:val="single" w:color="auto"/>
          <w:color w:val="0000FF"/>
        </w:rPr>
        <w:t>Item 8—Financial Statements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FF"/>
        </w:rPr>
        <w:t>and Supplementary Data</w:t>
      </w:r>
      <w:r>
        <w:rPr>
          <w:rFonts w:ascii="Times New Roman" w:cs="Times New Roman" w:eastAsia="Times New Roman" w:hAnsi="Times New Roman"/>
          <w:sz w:val="14"/>
          <w:szCs w:val="14"/>
          <w:color w:val="000000"/>
        </w:rPr>
        <w:t>” for additional information.</w:t>
      </w:r>
    </w:p>
    <w:p>
      <w:pPr>
        <w:spacing w:after="0" w:line="231" w:lineRule="exact"/>
        <w:rPr>
          <w:rFonts w:ascii="Times New Roman" w:cs="Times New Roman" w:eastAsia="Times New Roman" w:hAnsi="Times New Roman"/>
          <w:sz w:val="19"/>
          <w:szCs w:val="19"/>
          <w:color w:val="auto"/>
          <w:vertAlign w:val="superscript"/>
        </w:rPr>
      </w:pPr>
    </w:p>
    <w:p>
      <w:pPr>
        <w:ind w:left="660" w:right="360" w:hanging="328"/>
        <w:spacing w:after="0" w:line="302" w:lineRule="auto"/>
        <w:tabs>
          <w:tab w:leader="none" w:pos="556" w:val="left"/>
        </w:tabs>
        <w:numPr>
          <w:ilvl w:val="0"/>
          <w:numId w:val="4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Relates to third-party fees in connection with the Amended Dotdash Meredith Credit Agreement entered into on November 26, 2024. See “</w:t>
      </w:r>
      <w:r>
        <w:rPr>
          <w:rFonts w:ascii="Times New Roman" w:cs="Times New Roman" w:eastAsia="Times New Roman" w:hAnsi="Times New Roman"/>
          <w:sz w:val="14"/>
          <w:szCs w:val="14"/>
          <w:u w:val="single" w:color="auto"/>
          <w:color w:val="0000FF"/>
        </w:rPr>
        <w:t>Note 6—Long-term debt</w:t>
      </w:r>
      <w:r>
        <w:rPr>
          <w:rFonts w:ascii="Times New Roman" w:cs="Times New Roman" w:eastAsia="Times New Roman" w:hAnsi="Times New Roman"/>
          <w:sz w:val="14"/>
          <w:szCs w:val="14"/>
          <w:color w:val="auto"/>
        </w:rPr>
        <w:t>” for additional information.</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8" w:right="339" w:bottom="1440" w:gutter="0" w:footer="0" w:header="0"/>
        </w:sectPr>
      </w:pPr>
    </w:p>
    <w:bookmarkStart w:id="66" w:name="page67"/>
    <w:bookmarkEnd w:id="66"/>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 (provision)</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00" w:type="dxa"/>
            <w:vAlign w:val="bottom"/>
            <w:gridSpan w:val="5"/>
          </w:tcPr>
          <w:p>
            <w:pPr>
              <w:jc w:val="center"/>
              <w:ind w:left="36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3"/>
        </w:trPr>
        <w:tc>
          <w:tcPr>
            <w:tcW w:w="2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gridSpan w:val="5"/>
          </w:tcPr>
          <w:p>
            <w:pPr>
              <w:spacing w:after="0"/>
              <w:rPr>
                <w:sz w:val="2"/>
                <w:szCs w:val="2"/>
                <w:color w:val="auto"/>
              </w:rPr>
            </w:pPr>
          </w:p>
        </w:tc>
        <w:tc>
          <w:tcPr>
            <w:tcW w:w="2020" w:type="dxa"/>
            <w:vAlign w:val="bottom"/>
            <w:tcBorders>
              <w:bottom w:val="single" w:sz="8" w:color="auto"/>
            </w:tcBorders>
            <w:gridSpan w:val="3"/>
          </w:tcPr>
          <w:p>
            <w:pPr>
              <w:spacing w:after="0"/>
              <w:rPr>
                <w:sz w:val="2"/>
                <w:szCs w:val="2"/>
                <w:color w:val="auto"/>
              </w:rPr>
            </w:pPr>
          </w:p>
        </w:tc>
      </w:tr>
      <w:tr>
        <w:trPr>
          <w:trHeight w:val="190"/>
        </w:trPr>
        <w:tc>
          <w:tcPr>
            <w:tcW w:w="2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2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2024 Change</w:t>
            </w:r>
          </w:p>
        </w:tc>
        <w:tc>
          <w:tcPr>
            <w:tcW w:w="202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2023 Change</w:t>
            </w:r>
          </w:p>
        </w:tc>
      </w:tr>
      <w:tr>
        <w:trPr>
          <w:trHeight w:val="196"/>
        </w:trPr>
        <w:tc>
          <w:tcPr>
            <w:tcW w:w="286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89"/>
        </w:trPr>
        <w:tc>
          <w:tcPr>
            <w:tcW w:w="2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0" w:type="dxa"/>
            <w:vAlign w:val="bottom"/>
            <w:gridSpan w:val="4"/>
          </w:tcPr>
          <w:p>
            <w:pPr>
              <w:jc w:val="center"/>
              <w:ind w:left="441"/>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29"/>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159,069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(108,818)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331,087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267,887</w:t>
            </w:r>
          </w:p>
        </w:tc>
        <w:tc>
          <w:tcPr>
            <w:tcW w:w="10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NM  $</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(439,905)</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NM</w:t>
            </w:r>
          </w:p>
        </w:tc>
      </w:tr>
      <w:tr>
        <w:trPr>
          <w:trHeight w:val="234"/>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260" w:type="dxa"/>
            <w:vAlign w:val="bottom"/>
          </w:tcPr>
          <w:p>
            <w:pPr>
              <w:spacing w:after="0"/>
              <w:rPr>
                <w:sz w:val="20"/>
                <w:szCs w:val="20"/>
                <w:color w:val="auto"/>
              </w:rPr>
            </w:pPr>
          </w:p>
        </w:tc>
        <w:tc>
          <w:tcPr>
            <w:tcW w:w="920" w:type="dxa"/>
            <w:vAlign w:val="bottom"/>
          </w:tcPr>
          <w:p>
            <w:pPr>
              <w:jc w:val="right"/>
              <w:ind w:right="356"/>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356"/>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361"/>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r>
    </w:tbl>
    <w:p>
      <w:pPr>
        <w:spacing w:after="0" w:line="28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For further details of income tax matters, see “</w:t>
      </w:r>
      <w:r>
        <w:rPr>
          <w:rFonts w:ascii="Times New Roman" w:cs="Times New Roman" w:eastAsia="Times New Roman" w:hAnsi="Times New Roman"/>
          <w:sz w:val="18"/>
          <w:szCs w:val="18"/>
          <w:u w:val="single" w:color="auto"/>
          <w:color w:val="0000FF"/>
        </w:rPr>
        <w:t>Note 12—Income Taxes</w:t>
      </w:r>
      <w:r>
        <w:rPr>
          <w:rFonts w:ascii="Times New Roman" w:cs="Times New Roman" w:eastAsia="Times New Roman" w:hAnsi="Times New Roman"/>
          <w:sz w:val="18"/>
          <w:szCs w:val="18"/>
          <w:color w:val="auto"/>
        </w:rPr>
        <w:t>” in the accompanying notes to the financial statements included in “</w:t>
      </w:r>
      <w:r>
        <w:rPr>
          <w:rFonts w:ascii="Times New Roman" w:cs="Times New Roman" w:eastAsia="Times New Roman" w:hAnsi="Times New Roman"/>
          <w:sz w:val="18"/>
          <w:szCs w:val="18"/>
          <w:u w:val="single" w:color="auto"/>
          <w:color w:val="0000FF"/>
        </w:rPr>
        <w:t>Item 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Financial Statements and Supplementary Data</w:t>
      </w:r>
      <w:r>
        <w:rPr>
          <w:rFonts w:ascii="Times New Roman" w:cs="Times New Roman" w:eastAsia="Times New Roman" w:hAnsi="Times New Roman"/>
          <w:sz w:val="18"/>
          <w:szCs w:val="18"/>
          <w:color w:val="000000"/>
        </w:rPr>
        <w:t>.”</w:t>
      </w:r>
    </w:p>
    <w:p>
      <w:pPr>
        <w:spacing w:after="0" w:line="193" w:lineRule="exact"/>
        <w:rPr>
          <w:sz w:val="20"/>
          <w:szCs w:val="20"/>
          <w:color w:val="auto"/>
        </w:rPr>
      </w:pPr>
    </w:p>
    <w:p>
      <w:pPr>
        <w:ind w:right="80" w:firstLine="405"/>
        <w:spacing w:after="0" w:line="238" w:lineRule="auto"/>
        <w:rPr>
          <w:sz w:val="20"/>
          <w:szCs w:val="20"/>
          <w:color w:val="auto"/>
        </w:rPr>
      </w:pPr>
      <w:r>
        <w:rPr>
          <w:rFonts w:ascii="Times New Roman" w:cs="Times New Roman" w:eastAsia="Times New Roman" w:hAnsi="Times New Roman"/>
          <w:sz w:val="18"/>
          <w:szCs w:val="18"/>
          <w:color w:val="auto"/>
        </w:rPr>
        <w:t>In 2024, the effective income tax rate is higher than the statutory rate of 21% due primarily to the valuation allowance release for foreign net operating losses (as described below), state taxes, research credits and the realization of capital losses, partially offset by the nondeductible portion of goodwill in the sale of Mosaic Group and nondeductible compensation expense. Following the purchase of the remaining noncontrolling interests of a foreign subsidiary, we reorganized the related business operations, which resulted in the release of a valuation allowance for foreign net operating losses in the amount of $31.1 million as a discrete item in the third quarter, because we are now forecasting the utilization of the net operating losses within the foreseeable future.</w:t>
      </w:r>
    </w:p>
    <w:p>
      <w:pPr>
        <w:spacing w:after="0" w:line="226" w:lineRule="exact"/>
        <w:rPr>
          <w:sz w:val="20"/>
          <w:szCs w:val="20"/>
          <w:color w:val="auto"/>
        </w:rPr>
      </w:pPr>
    </w:p>
    <w:p>
      <w:pPr>
        <w:ind w:right="220" w:firstLine="405"/>
        <w:spacing w:after="0" w:line="282" w:lineRule="auto"/>
        <w:rPr>
          <w:sz w:val="20"/>
          <w:szCs w:val="20"/>
          <w:color w:val="auto"/>
        </w:rPr>
      </w:pPr>
      <w:r>
        <w:rPr>
          <w:rFonts w:ascii="Times New Roman" w:cs="Times New Roman" w:eastAsia="Times New Roman" w:hAnsi="Times New Roman"/>
          <w:sz w:val="18"/>
          <w:szCs w:val="18"/>
          <w:color w:val="auto"/>
        </w:rPr>
        <w:t>In 2023, the effective income tax rate is higher than the statutory rate of 21% due primarily to state taxes and nondeductible compensation expense, partially offset by research credits.</w:t>
      </w:r>
    </w:p>
    <w:p>
      <w:pPr>
        <w:spacing w:after="0" w:line="162" w:lineRule="exact"/>
        <w:rPr>
          <w:sz w:val="20"/>
          <w:szCs w:val="20"/>
          <w:color w:val="auto"/>
        </w:rPr>
      </w:pPr>
    </w:p>
    <w:p>
      <w:pPr>
        <w:ind w:right="200" w:firstLine="405"/>
        <w:spacing w:after="0" w:line="282" w:lineRule="auto"/>
        <w:rPr>
          <w:sz w:val="20"/>
          <w:szCs w:val="20"/>
          <w:color w:val="auto"/>
        </w:rPr>
      </w:pPr>
      <w:r>
        <w:rPr>
          <w:rFonts w:ascii="Times New Roman" w:cs="Times New Roman" w:eastAsia="Times New Roman" w:hAnsi="Times New Roman"/>
          <w:sz w:val="18"/>
          <w:szCs w:val="18"/>
          <w:color w:val="auto"/>
        </w:rPr>
        <w:t>In 2022, the effective income tax rate is higher than the statutory rate of 21% due primarily to state taxes and research credits, partially offset by the non-deductible portion of the Mosaic Group goodwill impairment charge.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(earnings) loss attributable to noncontrolling interests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20" w:type="dxa"/>
            <w:vAlign w:val="bottom"/>
            <w:gridSpan w:val="7"/>
          </w:tcPr>
          <w:p>
            <w:pPr>
              <w:jc w:val="center"/>
              <w:ind w:left="60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30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6"/>
          </w:tcPr>
          <w:p>
            <w:pPr>
              <w:spacing w:after="0"/>
              <w:rPr>
                <w:sz w:val="2"/>
                <w:szCs w:val="2"/>
                <w:color w:val="auto"/>
              </w:rPr>
            </w:pPr>
          </w:p>
        </w:tc>
        <w:tc>
          <w:tcPr>
            <w:tcW w:w="2100" w:type="dxa"/>
            <w:vAlign w:val="bottom"/>
            <w:tcBorders>
              <w:bottom w:val="single" w:sz="8" w:color="auto"/>
            </w:tcBorders>
            <w:gridSpan w:val="3"/>
          </w:tcPr>
          <w:p>
            <w:pPr>
              <w:spacing w:after="0"/>
              <w:rPr>
                <w:sz w:val="2"/>
                <w:szCs w:val="2"/>
                <w:color w:val="auto"/>
              </w:rPr>
            </w:pPr>
          </w:p>
        </w:tc>
      </w:tr>
      <w:tr>
        <w:trPr>
          <w:trHeight w:val="190"/>
        </w:trPr>
        <w:tc>
          <w:tcPr>
            <w:tcW w:w="3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80" w:type="dxa"/>
            <w:vAlign w:val="bottom"/>
            <w:gridSpan w:val="6"/>
          </w:tcPr>
          <w:p>
            <w:pPr>
              <w:ind w:left="560"/>
              <w:spacing w:after="0"/>
              <w:rPr>
                <w:sz w:val="20"/>
                <w:szCs w:val="20"/>
                <w:color w:val="auto"/>
              </w:rPr>
            </w:pPr>
            <w:r>
              <w:rPr>
                <w:rFonts w:ascii="Times New Roman" w:cs="Times New Roman" w:eastAsia="Times New Roman" w:hAnsi="Times New Roman"/>
                <w:sz w:val="14"/>
                <w:szCs w:val="14"/>
                <w:b w:val="1"/>
                <w:bCs w:val="1"/>
                <w:color w:val="auto"/>
              </w:rPr>
              <w:t>2024 Change</w:t>
            </w:r>
          </w:p>
        </w:tc>
        <w:tc>
          <w:tcPr>
            <w:tcW w:w="2100" w:type="dxa"/>
            <w:vAlign w:val="bottom"/>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2023 Change</w:t>
            </w:r>
          </w:p>
        </w:tc>
      </w:tr>
      <w:tr>
        <w:trPr>
          <w:trHeight w:val="196"/>
        </w:trPr>
        <w:tc>
          <w:tcPr>
            <w:tcW w:w="30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 w:type="dxa"/>
            <w:vAlign w:val="bottom"/>
            <w:tcBorders>
              <w:top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89"/>
        </w:trPr>
        <w:tc>
          <w:tcPr>
            <w:tcW w:w="3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(Dollars in thousands)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4"/>
        </w:trPr>
        <w:tc>
          <w:tcPr>
            <w:tcW w:w="30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Net (earnings) loss attributable to</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34"/>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(6,567)</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22,285</w:t>
            </w:r>
          </w:p>
        </w:tc>
        <w:tc>
          <w:tcPr>
            <w:tcW w:w="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NM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(14,660)</w:t>
            </w:r>
          </w:p>
        </w:tc>
        <w:tc>
          <w:tcPr>
            <w:tcW w:w="8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8"/>
                <w:szCs w:val="18"/>
                <w:color w:val="auto"/>
              </w:rPr>
              <w:t>(66)%</w:t>
            </w:r>
          </w:p>
        </w:tc>
      </w:tr>
    </w:tbl>
    <w:p>
      <w:pPr>
        <w:spacing w:after="0" w:line="200" w:lineRule="exact"/>
        <w:rPr>
          <w:sz w:val="20"/>
          <w:szCs w:val="20"/>
          <w:color w:val="auto"/>
        </w:rPr>
      </w:pPr>
    </w:p>
    <w:p>
      <w:pPr>
        <w:spacing w:after="0" w:line="227" w:lineRule="exact"/>
        <w:rPr>
          <w:sz w:val="20"/>
          <w:szCs w:val="20"/>
          <w:color w:val="auto"/>
        </w:rPr>
      </w:pPr>
    </w:p>
    <w:p>
      <w:pPr>
        <w:ind w:right="240" w:firstLine="405"/>
        <w:spacing w:after="0" w:line="282" w:lineRule="auto"/>
        <w:rPr>
          <w:sz w:val="20"/>
          <w:szCs w:val="20"/>
          <w:color w:val="auto"/>
        </w:rPr>
      </w:pPr>
      <w:r>
        <w:rPr>
          <w:rFonts w:ascii="Times New Roman" w:cs="Times New Roman" w:eastAsia="Times New Roman" w:hAnsi="Times New Roman"/>
          <w:sz w:val="18"/>
          <w:szCs w:val="18"/>
          <w:color w:val="auto"/>
        </w:rPr>
        <w:t>Net (earnings) loss attributable to noncontrolling interests in 2024, 2023 and 2022 primarily represents the publicly-held interest in Angi's earnings and losses.</w:t>
      </w:r>
    </w:p>
    <w:p>
      <w:pPr>
        <w:spacing w:after="0" w:line="189" w:lineRule="exact"/>
        <w:rPr>
          <w:sz w:val="20"/>
          <w:szCs w:val="20"/>
          <w:color w:val="auto"/>
        </w:rPr>
      </w:pPr>
    </w:p>
    <w:p>
      <w:pPr>
        <w:ind w:right="120" w:firstLine="405"/>
        <w:spacing w:after="0" w:line="282" w:lineRule="auto"/>
        <w:rPr>
          <w:sz w:val="20"/>
          <w:szCs w:val="20"/>
          <w:color w:val="auto"/>
        </w:rPr>
      </w:pPr>
      <w:r>
        <w:rPr>
          <w:rFonts w:ascii="Times New Roman" w:cs="Times New Roman" w:eastAsia="Times New Roman" w:hAnsi="Times New Roman"/>
          <w:sz w:val="18"/>
          <w:szCs w:val="18"/>
          <w:color w:val="auto"/>
        </w:rPr>
        <w:t>Net loss attributable to noncontrolling interests in 2022 also included noncontrolling interest in a subsidiary that primarily held investments in equity securities. The subsidiary recorded net unrealized losses in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PRINCIPLES OF FINANCIAL REPORTING</w:t>
      </w:r>
    </w:p>
    <w:p>
      <w:pPr>
        <w:spacing w:after="0" w:line="121" w:lineRule="exact"/>
        <w:rPr>
          <w:sz w:val="20"/>
          <w:szCs w:val="20"/>
          <w:color w:val="auto"/>
        </w:rPr>
      </w:pPr>
    </w:p>
    <w:p>
      <w:pPr>
        <w:ind w:right="200" w:firstLine="445"/>
        <w:spacing w:after="0" w:line="254" w:lineRule="auto"/>
        <w:rPr>
          <w:sz w:val="20"/>
          <w:szCs w:val="20"/>
          <w:color w:val="auto"/>
        </w:rPr>
      </w:pPr>
      <w:r>
        <w:rPr>
          <w:rFonts w:ascii="Times New Roman" w:cs="Times New Roman" w:eastAsia="Times New Roman" w:hAnsi="Times New Roman"/>
          <w:sz w:val="18"/>
          <w:szCs w:val="18"/>
          <w:color w:val="auto"/>
        </w:rPr>
        <w:t>The Company reports Adjusted EBITDA as a supplemental measure to U.S. generally accepted accounting principles (“GAAP”). This measure is considered our primary segment measure of profitability and one of the metrics by which we evaluate the performance of our businesses and our internal budgets are based and may also impact management compensation. We believe that investors should have access to, and we are obligated to provide, the same set of tools that we use in analyzing our results. This non-GAAP measure should be considered in addition to results prepared in accordance with GAAP, but should not be considered a substitute for or superior to GAAP results. The Company endeavors to compensate for the limitations of the non-GAAP measure presented by providing the comparable GAAP measure with equal or greater prominence and descriptions of the reconciling items, including quantifying such items, to derive the non-GAAP measure. We encourage investors to examine the reconciling adjustments between the GAAP and non-GAAP measure, which we discuss below.</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of Non-GAAP Measure</w:t>
      </w:r>
    </w:p>
    <w:p>
      <w:pPr>
        <w:spacing w:after="0" w:line="119" w:lineRule="exact"/>
        <w:rPr>
          <w:sz w:val="20"/>
          <w:szCs w:val="20"/>
          <w:color w:val="auto"/>
        </w:rPr>
      </w:pPr>
    </w:p>
    <w:p>
      <w:pPr>
        <w:ind w:right="60" w:firstLine="44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Adjusted Earnings Before Interest, Taxes, Depreciation and Amortization (“Adjusted EBITDA”) </w:t>
      </w:r>
      <w:r>
        <w:rPr>
          <w:rFonts w:ascii="Times New Roman" w:cs="Times New Roman" w:eastAsia="Times New Roman" w:hAnsi="Times New Roman"/>
          <w:sz w:val="18"/>
          <w:szCs w:val="18"/>
          <w:color w:val="auto"/>
        </w:rPr>
        <w:t>is defined as operating income excluding: (1) stock-based compensation expense; (2) depreciation; and (3) acquisition-related items consisting of, (i) amortization of intangible assets and impairments of goodwill and intangible assets, if applicable and (ii) gains and losses recognized on changes in the fair value of contingent consideration arrangements, if applicable. We believe this measure is useful for analysts and investors as this measure allows a more meaningful comparison between our performance and that of our competitors. Adjusted EBITDA has certain limitations because it excludes the impact of these expenses.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Non-Cash Expenses That Are Excluded from Our Non-GAAP Measure</w:t>
      </w:r>
    </w:p>
    <w:p>
      <w:pPr>
        <w:spacing w:after="0" w:line="22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Stock-based compensation expense </w:t>
      </w:r>
      <w:r>
        <w:rPr>
          <w:rFonts w:ascii="Times New Roman" w:cs="Times New Roman" w:eastAsia="Times New Roman" w:hAnsi="Times New Roman"/>
          <w:sz w:val="18"/>
          <w:szCs w:val="18"/>
          <w:color w:val="auto"/>
        </w:rPr>
        <w:t>consists of expense associated with awards that were granted under various IAC stock and annual incentive plans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expense related to awards issued by certain subsidiaries of the Company. These expenses are not paid in cash and we view the economic costs of stock-based awards to be the dilution to our share base; we also include the related shares in our fully diluted shares outstanding for GAAP earnings per share using the treasury stock method. The Company is currently settling all stock-based awards on a net basis; IAC remits the required tax-withholding amounts for net-settled awards from its current funds.</w:t>
      </w:r>
    </w:p>
    <w:p>
      <w:pPr>
        <w:spacing w:after="0" w:line="75" w:lineRule="exact"/>
        <w:rPr>
          <w:sz w:val="20"/>
          <w:szCs w:val="20"/>
          <w:color w:val="auto"/>
        </w:rPr>
      </w:pPr>
    </w:p>
    <w:p>
      <w:pPr>
        <w:jc w:val="both"/>
        <w:ind w:right="12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Depreciation </w:t>
      </w:r>
      <w:r>
        <w:rPr>
          <w:rFonts w:ascii="Times New Roman" w:cs="Times New Roman" w:eastAsia="Times New Roman" w:hAnsi="Times New Roman"/>
          <w:sz w:val="18"/>
          <w:szCs w:val="18"/>
          <w:color w:val="auto"/>
        </w:rPr>
        <w:t>is a non-cash expense relating to our buildings, capitalized software, equipment and leasehold improvements and is computed using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straight-line method to allocate the cost of depreciable assets to operations over their estimated useful lives, or, in the case of leasehold improvements, the lease term, if shorter.</w:t>
      </w:r>
    </w:p>
    <w:p>
      <w:pPr>
        <w:spacing w:after="0" w:line="65"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Amortization of intangible assets and impairments of goodwill and intangible assets </w:t>
      </w:r>
      <w:r>
        <w:rPr>
          <w:rFonts w:ascii="Times New Roman" w:cs="Times New Roman" w:eastAsia="Times New Roman" w:hAnsi="Times New Roman"/>
          <w:sz w:val="18"/>
          <w:szCs w:val="18"/>
          <w:color w:val="auto"/>
        </w:rPr>
        <w:t>are non-cash expenses related primarily to acquisitions.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of an acquisition, the identifiable definite-lived intangible assets of the acquired company, such as advertiser relationships, technology, licensee relationships, trade names, content, customer lists and user base, and professional relationships, are valued and amortized over their estimated lives. Value is also assigned to acquired indefinite-lived intangible assets, which comprise trade names and trademarks, and goodwill that are not subject to amortization. An impairment is recorded when the carrying value of an intangible asset or goodwill exceeds its fair value. We believe that intangible assets represent costs incurred by the acquired company to build value prior to acquisition and the related amortization and impairments of intangible assets or goodwill, if applicable, are not ongoing costs of doing business.</w:t>
      </w:r>
    </w:p>
    <w:p>
      <w:pPr>
        <w:spacing w:after="0" w:line="75"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Gains and losses recognized on changes in the fair value of contingent consideration arrangements </w:t>
      </w:r>
      <w:r>
        <w:rPr>
          <w:rFonts w:ascii="Times New Roman" w:cs="Times New Roman" w:eastAsia="Times New Roman" w:hAnsi="Times New Roman"/>
          <w:sz w:val="18"/>
          <w:szCs w:val="18"/>
          <w:color w:val="auto"/>
        </w:rPr>
        <w:t>are accounting adjustments to report liabilities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portion of the purchase price of acquisitions, if applicable, that is contingent upon the financial performance and/or operating targets of the acquired company at fair value that are recognized in “General and administrative expense” in the statement of operations. These adjustments can be highly variable and are excluded from our assessment of performance because they are considered non-operational in nature and, therefore, are not indicative of current or future performance or the ongoing cost of doing business.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3" w:right="359" w:bottom="1440" w:gutter="0" w:footer="0" w:header="0"/>
        </w:sectPr>
      </w:pPr>
    </w:p>
    <w:bookmarkStart w:id="68" w:name="page69"/>
    <w:bookmarkEnd w:id="68"/>
    <w:p>
      <w:pPr>
        <w:ind w:right="68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tables reconcile operating income (loss) to Adjusted EBITDA for the Company's reportable segments and net (loss) earnings attributable to IAC shareholders:</w:t>
      </w:r>
    </w:p>
    <w:p>
      <w:pPr>
        <w:spacing w:after="0" w:line="223" w:lineRule="exact"/>
        <w:rPr>
          <w:sz w:val="20"/>
          <w:szCs w:val="20"/>
          <w:color w:val="auto"/>
        </w:rPr>
      </w:pPr>
    </w:p>
    <w:tbl>
      <w:tblPr>
        <w:tblLayout w:type="fixed"/>
        <w:tblInd w:w="420" w:type="dxa"/>
        <w:tblCellMar>
          <w:top w:w="0" w:type="dxa"/>
          <w:left w:w="0" w:type="dxa"/>
          <w:bottom w:w="0" w:type="dxa"/>
          <w:right w:w="0" w:type="dxa"/>
        </w:tblCellMar>
      </w:tblPr>
      <w:tr>
        <w:trPr>
          <w:trHeight w:val="190"/>
        </w:trPr>
        <w:tc>
          <w:tcPr>
            <w:tcW w:w="4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760" w:type="dxa"/>
            <w:vAlign w:val="bottom"/>
            <w:gridSpan w:val="8"/>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400" w:type="dxa"/>
            <w:vAlign w:val="bottom"/>
          </w:tcPr>
          <w:p>
            <w:pPr>
              <w:spacing w:after="0"/>
              <w:rPr>
                <w:sz w:val="11"/>
                <w:szCs w:val="11"/>
                <w:color w:val="auto"/>
              </w:rPr>
            </w:pP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Income</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Stock-Based</w:t>
            </w: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1"/>
                <w:szCs w:val="11"/>
                <w:color w:val="auto"/>
              </w:rPr>
            </w:pPr>
          </w:p>
        </w:tc>
        <w:tc>
          <w:tcPr>
            <w:tcW w:w="96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0" w:type="dxa"/>
            <w:vAlign w:val="bottom"/>
          </w:tcPr>
          <w:p>
            <w:pPr>
              <w:spacing w:after="0"/>
              <w:rPr>
                <w:sz w:val="1"/>
                <w:szCs w:val="1"/>
                <w:color w:val="auto"/>
              </w:rPr>
            </w:pPr>
          </w:p>
        </w:tc>
      </w:tr>
      <w:tr>
        <w:trPr>
          <w:trHeight w:val="146"/>
        </w:trPr>
        <w:tc>
          <w:tcPr>
            <w:tcW w:w="44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20" w:type="dxa"/>
            <w:vAlign w:val="bottom"/>
          </w:tcPr>
          <w:p>
            <w:pPr>
              <w:spacing w:after="0"/>
              <w:rPr>
                <w:sz w:val="12"/>
                <w:szCs w:val="12"/>
                <w:color w:val="auto"/>
              </w:rPr>
            </w:pPr>
          </w:p>
        </w:tc>
        <w:tc>
          <w:tcPr>
            <w:tcW w:w="11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44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of Intangibles</w:t>
            </w: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EBITDA</w:t>
            </w:r>
          </w:p>
        </w:tc>
        <w:tc>
          <w:tcPr>
            <w:tcW w:w="0" w:type="dxa"/>
            <w:vAlign w:val="bottom"/>
          </w:tcPr>
          <w:p>
            <w:pPr>
              <w:spacing w:after="0"/>
              <w:rPr>
                <w:sz w:val="1"/>
                <w:szCs w:val="1"/>
                <w:color w:val="auto"/>
              </w:rPr>
            </w:pPr>
          </w:p>
        </w:tc>
      </w:tr>
      <w:tr>
        <w:trPr>
          <w:trHeight w:val="195"/>
        </w:trPr>
        <w:tc>
          <w:tcPr>
            <w:tcW w:w="4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Dotdash Meredith</w:t>
            </w: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Digital</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146,838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116,542</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289,393</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Print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24,588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53,793</w:t>
            </w:r>
          </w:p>
        </w:tc>
        <w:tc>
          <w:tcPr>
            <w:tcW w:w="0" w:type="dxa"/>
            <w:vAlign w:val="bottom"/>
          </w:tcPr>
          <w:p>
            <w:pPr>
              <w:spacing w:after="0"/>
              <w:rPr>
                <w:sz w:val="1"/>
                <w:szCs w:val="1"/>
                <w:color w:val="auto"/>
              </w:rPr>
            </w:pPr>
          </w:p>
        </w:tc>
      </w:tr>
      <w:tr>
        <w:trPr>
          <w:trHeight w:val="229"/>
        </w:trPr>
        <w:tc>
          <w:tcPr>
            <w:tcW w:w="440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(a)</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(64,552)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(47,766)</w:t>
            </w:r>
          </w:p>
        </w:tc>
        <w:tc>
          <w:tcPr>
            <w:tcW w:w="0" w:type="dxa"/>
            <w:vAlign w:val="bottom"/>
          </w:tcPr>
          <w:p>
            <w:pPr>
              <w:spacing w:after="0"/>
              <w:rPr>
                <w:sz w:val="1"/>
                <w:szCs w:val="1"/>
                <w:color w:val="auto"/>
              </w:rPr>
            </w:pPr>
          </w:p>
        </w:tc>
      </w:tr>
      <w:tr>
        <w:trPr>
          <w:trHeight w:val="223"/>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Dotdash Meredith</w:t>
            </w:r>
          </w:p>
        </w:tc>
        <w:tc>
          <w:tcPr>
            <w:tcW w:w="2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106,874</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136,417</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295,420</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Angi</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Ads and Leads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94,428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180,334</w:t>
            </w:r>
          </w:p>
        </w:tc>
        <w:tc>
          <w:tcPr>
            <w:tcW w:w="0" w:type="dxa"/>
            <w:vAlign w:val="bottom"/>
          </w:tcPr>
          <w:p>
            <w:pPr>
              <w:spacing w:after="0"/>
              <w:rPr>
                <w:sz w:val="1"/>
                <w:szCs w:val="1"/>
                <w:color w:val="auto"/>
              </w:rPr>
            </w:pPr>
          </w:p>
        </w:tc>
      </w:tr>
      <w:tr>
        <w:trPr>
          <w:trHeight w:val="230"/>
        </w:trPr>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Services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4,469</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(a)</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(64,845)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(55,441)</w:t>
            </w:r>
          </w:p>
        </w:tc>
        <w:tc>
          <w:tcPr>
            <w:tcW w:w="0" w:type="dxa"/>
            <w:vAlign w:val="bottom"/>
          </w:tcPr>
          <w:p>
            <w:pPr>
              <w:spacing w:after="0"/>
              <w:rPr>
                <w:sz w:val="1"/>
                <w:szCs w:val="1"/>
                <w:color w:val="auto"/>
              </w:rPr>
            </w:pPr>
          </w:p>
        </w:tc>
      </w:tr>
      <w:tr>
        <w:trPr>
          <w:trHeight w:val="229"/>
        </w:trPr>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International</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15,953</w:t>
            </w:r>
          </w:p>
        </w:tc>
        <w:tc>
          <w:tcPr>
            <w:tcW w:w="0" w:type="dxa"/>
            <w:vAlign w:val="bottom"/>
          </w:tcPr>
          <w:p>
            <w:pPr>
              <w:spacing w:after="0"/>
              <w:rPr>
                <w:sz w:val="1"/>
                <w:szCs w:val="1"/>
                <w:color w:val="auto"/>
              </w:rPr>
            </w:pPr>
          </w:p>
        </w:tc>
      </w:tr>
      <w:tr>
        <w:trPr>
          <w:trHeight w:val="223"/>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Angi</w:t>
            </w:r>
          </w:p>
        </w:tc>
        <w:tc>
          <w:tcPr>
            <w:tcW w:w="2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21,885</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34,778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86,052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145,315</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Care.com</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33,744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45,181</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Search</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17,510</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Emerging &amp; Other</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(37,695)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(35,995)</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Corporate</w:t>
            </w:r>
            <w:r>
              <w:rPr>
                <w:rFonts w:ascii="Times New Roman" w:cs="Times New Roman" w:eastAsia="Times New Roman" w:hAnsi="Times New Roman"/>
                <w:sz w:val="23"/>
                <w:szCs w:val="23"/>
                <w:color w:val="auto"/>
                <w:vertAlign w:val="superscript"/>
              </w:rPr>
              <w:t>(b)</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(146,444)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50,294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(87,742)</w:t>
            </w:r>
          </w:p>
        </w:tc>
        <w:tc>
          <w:tcPr>
            <w:tcW w:w="0" w:type="dxa"/>
            <w:vAlign w:val="bottom"/>
          </w:tcPr>
          <w:p>
            <w:pPr>
              <w:spacing w:after="0"/>
              <w:rPr>
                <w:sz w:val="1"/>
                <w:szCs w:val="1"/>
                <w:color w:val="auto"/>
              </w:rPr>
            </w:pPr>
          </w:p>
        </w:tc>
      </w:tr>
      <w:tr>
        <w:trPr>
          <w:trHeight w:val="223"/>
        </w:trPr>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(4,230)</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112,523</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126,890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144,506</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379,689</w:t>
            </w:r>
          </w:p>
        </w:tc>
        <w:tc>
          <w:tcPr>
            <w:tcW w:w="0" w:type="dxa"/>
            <w:vAlign w:val="bottom"/>
          </w:tcPr>
          <w:p>
            <w:pPr>
              <w:spacing w:after="0"/>
              <w:rPr>
                <w:sz w:val="1"/>
                <w:szCs w:val="1"/>
                <w:color w:val="auto"/>
              </w:rPr>
            </w:pP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(155,888)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4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Unrealized loss on investment in MGM Resorts</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(649,178)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116,897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(692,399)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159,069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(533,330)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attributable to noncontrolling interests</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IAC shareholders</w:t>
            </w: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(539,897)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82" w:lineRule="exact"/>
        <w:rPr>
          <w:sz w:val="20"/>
          <w:szCs w:val="20"/>
          <w:color w:val="auto"/>
        </w:rPr>
      </w:pPr>
    </w:p>
    <w:p>
      <w:pPr>
        <w:ind w:left="580" w:hanging="248"/>
        <w:spacing w:after="0"/>
        <w:tabs>
          <w:tab w:leader="none" w:pos="580" w:val="left"/>
        </w:tabs>
        <w:numPr>
          <w:ilvl w:val="0"/>
          <w:numId w:val="4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Other comprises unallocated corporate expenses.</w:t>
      </w:r>
    </w:p>
    <w:p>
      <w:pPr>
        <w:spacing w:after="0" w:line="189" w:lineRule="exact"/>
        <w:rPr>
          <w:rFonts w:ascii="Times New Roman" w:cs="Times New Roman" w:eastAsia="Times New Roman" w:hAnsi="Times New Roman"/>
          <w:sz w:val="19"/>
          <w:szCs w:val="19"/>
          <w:color w:val="auto"/>
          <w:vertAlign w:val="superscript"/>
        </w:rPr>
      </w:pPr>
    </w:p>
    <w:p>
      <w:pPr>
        <w:ind w:left="660" w:right="280" w:hanging="328"/>
        <w:spacing w:after="0" w:line="281" w:lineRule="auto"/>
        <w:tabs>
          <w:tab w:leader="none" w:pos="625" w:val="left"/>
        </w:tabs>
        <w:numPr>
          <w:ilvl w:val="0"/>
          <w:numId w:val="4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stock-based compensation expense for stock-based awards granted to employees of Corporate, Care.com, Search and all Emerging &amp; Other businesses other than Vivian Health for the years ended December 31, 2024, 2023 and 2022. The years ended December 31, 2023 and 2022 also exclude stock-based compensation granted to employees of Roofing within Emerging &amp; Other, which was sold on November 1, 2023.</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07" w:right="4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190"/>
        </w:trPr>
        <w:tc>
          <w:tcPr>
            <w:tcW w:w="3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2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660" w:type="dxa"/>
            <w:vAlign w:val="bottom"/>
          </w:tcPr>
          <w:p>
            <w:pPr>
              <w:spacing w:after="0"/>
              <w:rPr>
                <w:sz w:val="11"/>
                <w:szCs w:val="11"/>
                <w:color w:val="auto"/>
              </w:rPr>
            </w:pP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Operating (Loss)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Stock-Based</w:t>
            </w: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1"/>
                <w:szCs w:val="11"/>
                <w:color w:val="auto"/>
              </w:rPr>
            </w:pPr>
          </w:p>
        </w:tc>
        <w:tc>
          <w:tcPr>
            <w:tcW w:w="11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200" w:type="dxa"/>
            <w:vAlign w:val="bottom"/>
          </w:tcPr>
          <w:p>
            <w:pPr>
              <w:spacing w:after="0"/>
              <w:rPr>
                <w:sz w:val="11"/>
                <w:szCs w:val="11"/>
                <w:color w:val="auto"/>
              </w:rPr>
            </w:pPr>
          </w:p>
        </w:tc>
        <w:tc>
          <w:tcPr>
            <w:tcW w:w="96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0" w:type="dxa"/>
            <w:vAlign w:val="bottom"/>
          </w:tcPr>
          <w:p>
            <w:pPr>
              <w:spacing w:after="0"/>
              <w:rPr>
                <w:sz w:val="1"/>
                <w:szCs w:val="1"/>
                <w:color w:val="auto"/>
              </w:rPr>
            </w:pPr>
          </w:p>
        </w:tc>
      </w:tr>
      <w:tr>
        <w:trPr>
          <w:trHeight w:val="146"/>
        </w:trPr>
        <w:tc>
          <w:tcPr>
            <w:tcW w:w="36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40" w:type="dxa"/>
            <w:vAlign w:val="bottom"/>
          </w:tcPr>
          <w:p>
            <w:pPr>
              <w:spacing w:after="0"/>
              <w:rPr>
                <w:sz w:val="12"/>
                <w:szCs w:val="12"/>
                <w:color w:val="auto"/>
              </w:rPr>
            </w:pP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6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of Intangibles</w:t>
            </w: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EBITDA</w:t>
            </w:r>
          </w:p>
        </w:tc>
        <w:tc>
          <w:tcPr>
            <w:tcW w:w="0" w:type="dxa"/>
            <w:vAlign w:val="bottom"/>
          </w:tcPr>
          <w:p>
            <w:pPr>
              <w:spacing w:after="0"/>
              <w:rPr>
                <w:sz w:val="1"/>
                <w:szCs w:val="1"/>
                <w:color w:val="auto"/>
              </w:rPr>
            </w:pPr>
          </w:p>
        </w:tc>
      </w:tr>
      <w:tr>
        <w:trPr>
          <w:trHeight w:val="195"/>
        </w:trPr>
        <w:tc>
          <w:tcPr>
            <w:tcW w:w="3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2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Dotdash Meredith</w:t>
            </w: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Digital</w:t>
            </w:r>
          </w:p>
        </w:tc>
        <w:tc>
          <w:tcPr>
            <w:tcW w:w="2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8,159</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24,772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226,694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242,969</w:t>
            </w:r>
          </w:p>
        </w:tc>
        <w:tc>
          <w:tcPr>
            <w:tcW w:w="0" w:type="dxa"/>
            <w:vAlign w:val="bottom"/>
          </w:tcPr>
          <w:p>
            <w:pPr>
              <w:spacing w:after="0"/>
              <w:rPr>
                <w:sz w:val="1"/>
                <w:szCs w:val="1"/>
                <w:color w:val="auto"/>
              </w:rPr>
            </w:pPr>
          </w:p>
        </w:tc>
      </w:tr>
      <w:tr>
        <w:trPr>
          <w:trHeight w:val="229"/>
        </w:trPr>
        <w:tc>
          <w:tcPr>
            <w:tcW w:w="3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Print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53,043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64,226</w:t>
            </w:r>
          </w:p>
        </w:tc>
        <w:tc>
          <w:tcPr>
            <w:tcW w:w="0" w:type="dxa"/>
            <w:vAlign w:val="bottom"/>
          </w:tcPr>
          <w:p>
            <w:pPr>
              <w:spacing w:after="0"/>
              <w:rPr>
                <w:sz w:val="1"/>
                <w:szCs w:val="1"/>
                <w:color w:val="auto"/>
              </w:rPr>
            </w:pPr>
          </w:p>
        </w:tc>
      </w:tr>
      <w:tr>
        <w:trPr>
          <w:trHeight w:val="229"/>
        </w:trPr>
        <w:tc>
          <w:tcPr>
            <w:tcW w:w="3660" w:type="dxa"/>
            <w:vAlign w:val="bottom"/>
          </w:tcPr>
          <w:p>
            <w:pPr>
              <w:ind w:left="240"/>
              <w:spacing w:after="0" w:line="230" w:lineRule="exact"/>
              <w:rPr>
                <w:sz w:val="20"/>
                <w:szCs w:val="20"/>
                <w:color w:val="auto"/>
              </w:rPr>
            </w:pPr>
            <w:r>
              <w:rPr>
                <w:rFonts w:ascii="Times New Roman" w:cs="Times New Roman" w:eastAsia="Times New Roman" w:hAnsi="Times New Roman"/>
                <w:sz w:val="26"/>
                <w:szCs w:val="26"/>
                <w:color w:val="auto"/>
                <w:vertAlign w:val="subscript"/>
              </w:rPr>
              <w:t>Other</w:t>
            </w:r>
            <w:r>
              <w:rPr>
                <w:rFonts w:ascii="Times New Roman" w:cs="Times New Roman" w:eastAsia="Times New Roman" w:hAnsi="Times New Roman"/>
                <w:sz w:val="10"/>
                <w:szCs w:val="10"/>
                <w:color w:val="auto"/>
              </w:rPr>
              <w:t>(a)(c)</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(130,582)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32,183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(84,438)</w:t>
            </w:r>
          </w:p>
        </w:tc>
        <w:tc>
          <w:tcPr>
            <w:tcW w:w="0" w:type="dxa"/>
            <w:vAlign w:val="bottom"/>
          </w:tcPr>
          <w:p>
            <w:pPr>
              <w:spacing w:after="0"/>
              <w:rPr>
                <w:sz w:val="1"/>
                <w:szCs w:val="1"/>
                <w:color w:val="auto"/>
              </w:rPr>
            </w:pPr>
          </w:p>
        </w:tc>
      </w:tr>
      <w:tr>
        <w:trPr>
          <w:trHeight w:val="223"/>
        </w:trPr>
        <w:tc>
          <w:tcPr>
            <w:tcW w:w="3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Dotdash Meredith</w:t>
            </w:r>
          </w:p>
        </w:tc>
        <w:tc>
          <w:tcPr>
            <w:tcW w:w="22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(150,738)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70,257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279,737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222,757</w:t>
            </w:r>
          </w:p>
        </w:tc>
        <w:tc>
          <w:tcPr>
            <w:tcW w:w="0" w:type="dxa"/>
            <w:vAlign w:val="bottom"/>
          </w:tcPr>
          <w:p>
            <w:pPr>
              <w:spacing w:after="0"/>
              <w:rPr>
                <w:sz w:val="1"/>
                <w:szCs w:val="1"/>
                <w:color w:val="auto"/>
              </w:rPr>
            </w:pPr>
          </w:p>
        </w:tc>
      </w:tr>
      <w:tr>
        <w:trPr>
          <w:trHeight w:val="229"/>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Angi</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Ads and Leads</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23,145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66,211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147,357</w:t>
            </w:r>
          </w:p>
        </w:tc>
        <w:tc>
          <w:tcPr>
            <w:tcW w:w="0" w:type="dxa"/>
            <w:vAlign w:val="bottom"/>
          </w:tcPr>
          <w:p>
            <w:pPr>
              <w:spacing w:after="0"/>
              <w:rPr>
                <w:sz w:val="1"/>
                <w:szCs w:val="1"/>
                <w:color w:val="auto"/>
              </w:rPr>
            </w:pPr>
          </w:p>
        </w:tc>
      </w:tr>
      <w:tr>
        <w:trPr>
          <w:trHeight w:val="229"/>
        </w:trPr>
        <w:tc>
          <w:tcPr>
            <w:tcW w:w="3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Services</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23,987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8,123</w:t>
            </w: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(a)</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(50,076)</w:t>
            </w:r>
          </w:p>
        </w:tc>
        <w:tc>
          <w:tcPr>
            <w:tcW w:w="0" w:type="dxa"/>
            <w:vAlign w:val="bottom"/>
          </w:tcPr>
          <w:p>
            <w:pPr>
              <w:spacing w:after="0"/>
              <w:rPr>
                <w:sz w:val="1"/>
                <w:szCs w:val="1"/>
                <w:color w:val="auto"/>
              </w:rPr>
            </w:pPr>
          </w:p>
        </w:tc>
      </w:tr>
      <w:tr>
        <w:trPr>
          <w:trHeight w:val="229"/>
        </w:trPr>
        <w:tc>
          <w:tcPr>
            <w:tcW w:w="3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International</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13,074</w:t>
            </w:r>
          </w:p>
        </w:tc>
        <w:tc>
          <w:tcPr>
            <w:tcW w:w="0" w:type="dxa"/>
            <w:vAlign w:val="bottom"/>
          </w:tcPr>
          <w:p>
            <w:pPr>
              <w:spacing w:after="0"/>
              <w:rPr>
                <w:sz w:val="1"/>
                <w:szCs w:val="1"/>
                <w:color w:val="auto"/>
              </w:rPr>
            </w:pPr>
          </w:p>
        </w:tc>
      </w:tr>
      <w:tr>
        <w:trPr>
          <w:trHeight w:val="223"/>
        </w:trPr>
        <w:tc>
          <w:tcPr>
            <w:tcW w:w="3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Angi</w:t>
            </w:r>
          </w:p>
        </w:tc>
        <w:tc>
          <w:tcPr>
            <w:tcW w:w="22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43,414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93,604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118,478</w:t>
            </w:r>
          </w:p>
        </w:tc>
        <w:tc>
          <w:tcPr>
            <w:tcW w:w="0" w:type="dxa"/>
            <w:vAlign w:val="bottom"/>
          </w:tcPr>
          <w:p>
            <w:pPr>
              <w:spacing w:after="0"/>
              <w:rPr>
                <w:sz w:val="1"/>
                <w:szCs w:val="1"/>
                <w:color w:val="auto"/>
              </w:rPr>
            </w:pPr>
          </w:p>
        </w:tc>
      </w:tr>
      <w:tr>
        <w:trPr>
          <w:trHeight w:val="229"/>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Care.com</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56,205</w:t>
            </w:r>
          </w:p>
        </w:tc>
        <w:tc>
          <w:tcPr>
            <w:tcW w:w="0" w:type="dxa"/>
            <w:vAlign w:val="bottom"/>
          </w:tcPr>
          <w:p>
            <w:pPr>
              <w:spacing w:after="0"/>
              <w:rPr>
                <w:sz w:val="1"/>
                <w:szCs w:val="1"/>
                <w:color w:val="auto"/>
              </w:rPr>
            </w:pPr>
          </w:p>
        </w:tc>
      </w:tr>
      <w:tr>
        <w:trPr>
          <w:trHeight w:val="229"/>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Search</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44,283</w:t>
            </w:r>
          </w:p>
        </w:tc>
        <w:tc>
          <w:tcPr>
            <w:tcW w:w="0" w:type="dxa"/>
            <w:vAlign w:val="bottom"/>
          </w:tcPr>
          <w:p>
            <w:pPr>
              <w:spacing w:after="0"/>
              <w:rPr>
                <w:sz w:val="1"/>
                <w:szCs w:val="1"/>
                <w:color w:val="auto"/>
              </w:rPr>
            </w:pPr>
          </w:p>
        </w:tc>
      </w:tr>
      <w:tr>
        <w:trPr>
          <w:trHeight w:val="230"/>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Emerging &amp; Other</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(26,441)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(14,366)</w:t>
            </w:r>
          </w:p>
        </w:tc>
        <w:tc>
          <w:tcPr>
            <w:tcW w:w="0" w:type="dxa"/>
            <w:vAlign w:val="bottom"/>
          </w:tcPr>
          <w:p>
            <w:pPr>
              <w:spacing w:after="0"/>
              <w:rPr>
                <w:sz w:val="1"/>
                <w:szCs w:val="1"/>
                <w:color w:val="auto"/>
              </w:rPr>
            </w:pPr>
          </w:p>
        </w:tc>
      </w:tr>
      <w:tr>
        <w:trPr>
          <w:trHeight w:val="229"/>
        </w:trPr>
        <w:tc>
          <w:tcPr>
            <w:tcW w:w="36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Corporate</w:t>
            </w:r>
            <w:r>
              <w:rPr>
                <w:rFonts w:ascii="Times New Roman" w:cs="Times New Roman" w:eastAsia="Times New Roman" w:hAnsi="Times New Roman"/>
                <w:sz w:val="23"/>
                <w:szCs w:val="23"/>
                <w:color w:val="auto"/>
                <w:vertAlign w:val="superscript"/>
              </w:rPr>
              <w:t>(b)</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48,461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(90,873)</w:t>
            </w:r>
          </w:p>
        </w:tc>
        <w:tc>
          <w:tcPr>
            <w:tcW w:w="0" w:type="dxa"/>
            <w:vAlign w:val="bottom"/>
          </w:tcPr>
          <w:p>
            <w:pPr>
              <w:spacing w:after="0"/>
              <w:rPr>
                <w:sz w:val="1"/>
                <w:szCs w:val="1"/>
                <w:color w:val="auto"/>
              </w:rPr>
            </w:pPr>
          </w:p>
        </w:tc>
      </w:tr>
      <w:tr>
        <w:trPr>
          <w:trHeight w:val="223"/>
        </w:trPr>
        <w:tc>
          <w:tcPr>
            <w:tcW w:w="3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(260,763)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117,181</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175,096</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295,970</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336,484</w:t>
            </w:r>
          </w:p>
        </w:tc>
        <w:tc>
          <w:tcPr>
            <w:tcW w:w="0" w:type="dxa"/>
            <w:vAlign w:val="bottom"/>
          </w:tcPr>
          <w:p>
            <w:pPr>
              <w:spacing w:after="0"/>
              <w:rPr>
                <w:sz w:val="1"/>
                <w:szCs w:val="1"/>
                <w:color w:val="auto"/>
              </w:rPr>
            </w:pP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(157,632)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6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Unrealized gain on investment in MGM Resorts</w:t>
            </w: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721,668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367,135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258,317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attributable to IAC shareholders</w:t>
            </w:r>
          </w:p>
        </w:tc>
        <w:tc>
          <w:tcPr>
            <w:tcW w:w="2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265,942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13" w:lineRule="exact"/>
        <w:rPr>
          <w:sz w:val="20"/>
          <w:szCs w:val="20"/>
          <w:color w:val="auto"/>
        </w:rPr>
      </w:pPr>
    </w:p>
    <w:p>
      <w:pPr>
        <w:ind w:left="660" w:right="80" w:hanging="328"/>
        <w:spacing w:after="0" w:line="239" w:lineRule="auto"/>
        <w:tabs>
          <w:tab w:leader="none" w:pos="583" w:val="left"/>
        </w:tabs>
        <w:numPr>
          <w:ilvl w:val="0"/>
          <w:numId w:val="5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Operating loss includes impairment charges of $70.0 million related to unoccupied leased office space and write-offs of certain leasehold improvements and furniture and equipment of $4.2 million, of which $29.6 million is presented in “Depreciation” in the statement of operations and, therefore, is excluded from Adjusted EBITDA. Impairment charges related to unoccupied leased office space included in Adjusted EBITDA are $44.7 million. See “</w:t>
      </w:r>
      <w:r>
        <w:rPr>
          <w:rFonts w:ascii="Times New Roman" w:cs="Times New Roman" w:eastAsia="Times New Roman" w:hAnsi="Times New Roman"/>
          <w:sz w:val="14"/>
          <w:szCs w:val="14"/>
          <w:u w:val="single" w:color="auto"/>
          <w:color w:val="0000FF"/>
        </w:rPr>
        <w:t>Note 2—Summary of Significant Accounting Policies</w:t>
      </w:r>
      <w:r>
        <w:rPr>
          <w:rFonts w:ascii="Times New Roman" w:cs="Times New Roman" w:eastAsia="Times New Roman" w:hAnsi="Times New Roman"/>
          <w:sz w:val="14"/>
          <w:szCs w:val="14"/>
          <w:color w:val="auto"/>
        </w:rPr>
        <w:t>” in the accompanying notes to the financial statements included in “</w:t>
      </w:r>
      <w:r>
        <w:rPr>
          <w:rFonts w:ascii="Times New Roman" w:cs="Times New Roman" w:eastAsia="Times New Roman" w:hAnsi="Times New Roman"/>
          <w:sz w:val="14"/>
          <w:szCs w:val="14"/>
          <w:u w:val="single" w:color="auto"/>
          <w:color w:val="0000FF"/>
        </w:rPr>
        <w:t>Item 8—Financial Statements and Supplementary Data</w:t>
      </w:r>
      <w:r>
        <w:rPr>
          <w:rFonts w:ascii="Times New Roman" w:cs="Times New Roman" w:eastAsia="Times New Roman" w:hAnsi="Times New Roman"/>
          <w:sz w:val="14"/>
          <w:szCs w:val="14"/>
          <w:color w:val="auto"/>
        </w:rPr>
        <w:t>” for additional information on the impairment charges.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8" w:right="3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190"/>
        </w:trPr>
        <w:tc>
          <w:tcPr>
            <w:tcW w:w="2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40" w:type="dxa"/>
            <w:vAlign w:val="bottom"/>
            <w:gridSpan w:val="8"/>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related</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Stock-Based</w:t>
            </w: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Contingent</w:t>
            </w: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660" w:type="dxa"/>
            <w:vAlign w:val="bottom"/>
          </w:tcPr>
          <w:p>
            <w:pPr>
              <w:spacing w:after="0"/>
              <w:rPr>
                <w:sz w:val="12"/>
                <w:szCs w:val="12"/>
                <w:color w:val="auto"/>
              </w:rPr>
            </w:pP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Operating (Loss)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Consideration</w:t>
            </w:r>
          </w:p>
        </w:tc>
        <w:tc>
          <w:tcPr>
            <w:tcW w:w="120" w:type="dxa"/>
            <w:vAlign w:val="bottom"/>
          </w:tcPr>
          <w:p>
            <w:pPr>
              <w:spacing w:after="0"/>
              <w:rPr>
                <w:sz w:val="12"/>
                <w:szCs w:val="12"/>
                <w:color w:val="auto"/>
              </w:rPr>
            </w:pPr>
          </w:p>
        </w:tc>
        <w:tc>
          <w:tcPr>
            <w:tcW w:w="10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200" w:type="dxa"/>
            <w:vAlign w:val="bottom"/>
          </w:tcPr>
          <w:p>
            <w:pPr>
              <w:spacing w:after="0"/>
              <w:rPr>
                <w:sz w:val="12"/>
                <w:szCs w:val="12"/>
                <w:color w:val="auto"/>
              </w:rPr>
            </w:pPr>
          </w:p>
        </w:tc>
        <w:tc>
          <w:tcPr>
            <w:tcW w:w="90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0" w:type="dxa"/>
            <w:vAlign w:val="bottom"/>
          </w:tcPr>
          <w:p>
            <w:pPr>
              <w:spacing w:after="0"/>
              <w:rPr>
                <w:sz w:val="1"/>
                <w:szCs w:val="1"/>
                <w:color w:val="auto"/>
              </w:rPr>
            </w:pPr>
          </w:p>
        </w:tc>
      </w:tr>
      <w:tr>
        <w:trPr>
          <w:trHeight w:val="146"/>
        </w:trPr>
        <w:tc>
          <w:tcPr>
            <w:tcW w:w="26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20" w:type="dxa"/>
            <w:vAlign w:val="bottom"/>
          </w:tcPr>
          <w:p>
            <w:pPr>
              <w:spacing w:after="0"/>
              <w:rPr>
                <w:sz w:val="12"/>
                <w:szCs w:val="12"/>
                <w:color w:val="auto"/>
              </w:rPr>
            </w:pPr>
          </w:p>
        </w:tc>
        <w:tc>
          <w:tcPr>
            <w:tcW w:w="10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6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of Intangibles</w:t>
            </w: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EBITDA</w:t>
            </w:r>
          </w:p>
        </w:tc>
        <w:tc>
          <w:tcPr>
            <w:tcW w:w="0" w:type="dxa"/>
            <w:vAlign w:val="bottom"/>
          </w:tcPr>
          <w:p>
            <w:pPr>
              <w:spacing w:after="0"/>
              <w:rPr>
                <w:sz w:val="1"/>
                <w:szCs w:val="1"/>
                <w:color w:val="auto"/>
              </w:rPr>
            </w:pPr>
          </w:p>
        </w:tc>
      </w:tr>
      <w:tr>
        <w:trPr>
          <w:trHeight w:val="195"/>
        </w:trPr>
        <w:tc>
          <w:tcPr>
            <w:tcW w:w="2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Dotdash Meredith</w:t>
            </w: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66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Digital</w:t>
            </w:r>
            <w:r>
              <w:rPr>
                <w:rFonts w:ascii="Times New Roman" w:cs="Times New Roman" w:eastAsia="Times New Roman" w:hAnsi="Times New Roman"/>
                <w:sz w:val="23"/>
                <w:szCs w:val="23"/>
                <w:color w:val="auto"/>
                <w:vertAlign w:val="superscript"/>
              </w:rPr>
              <w:t>(d)</w:t>
            </w:r>
          </w:p>
        </w:tc>
        <w:tc>
          <w:tcPr>
            <w:tcW w:w="2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(66,629)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20,596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27,569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205,772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(612)</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186,696</w:t>
            </w: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Print</w:t>
            </w:r>
            <w:r>
              <w:rPr>
                <w:rFonts w:ascii="Times New Roman" w:cs="Times New Roman" w:eastAsia="Times New Roman" w:hAnsi="Times New Roman"/>
                <w:sz w:val="23"/>
                <w:szCs w:val="23"/>
                <w:color w:val="auto"/>
                <w:vertAlign w:val="superscript"/>
              </w:rPr>
              <w:t>(e)</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31,135</w:t>
            </w:r>
          </w:p>
        </w:tc>
        <w:tc>
          <w:tcPr>
            <w:tcW w:w="0" w:type="dxa"/>
            <w:vAlign w:val="bottom"/>
          </w:tcPr>
          <w:p>
            <w:pPr>
              <w:spacing w:after="0"/>
              <w:rPr>
                <w:sz w:val="1"/>
                <w:szCs w:val="1"/>
                <w:color w:val="auto"/>
              </w:rPr>
            </w:pPr>
          </w:p>
        </w:tc>
      </w:tr>
      <w:tr>
        <w:trPr>
          <w:trHeight w:val="229"/>
        </w:trPr>
        <w:tc>
          <w:tcPr>
            <w:tcW w:w="2660" w:type="dxa"/>
            <w:vAlign w:val="bottom"/>
          </w:tcPr>
          <w:p>
            <w:pPr>
              <w:ind w:left="240"/>
              <w:spacing w:after="0" w:line="230" w:lineRule="exact"/>
              <w:rPr>
                <w:sz w:val="20"/>
                <w:szCs w:val="20"/>
                <w:color w:val="auto"/>
              </w:rPr>
            </w:pPr>
            <w:r>
              <w:rPr>
                <w:rFonts w:ascii="Times New Roman" w:cs="Times New Roman" w:eastAsia="Times New Roman" w:hAnsi="Times New Roman"/>
                <w:sz w:val="26"/>
                <w:szCs w:val="26"/>
                <w:color w:val="auto"/>
                <w:vertAlign w:val="subscript"/>
              </w:rPr>
              <w:t>Other</w:t>
            </w:r>
            <w:r>
              <w:rPr>
                <w:rFonts w:ascii="Times New Roman" w:cs="Times New Roman" w:eastAsia="Times New Roman" w:hAnsi="Times New Roman"/>
                <w:sz w:val="10"/>
                <w:szCs w:val="10"/>
                <w:color w:val="auto"/>
              </w:rPr>
              <w:t>(a)(f)</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(65,682)</w:t>
            </w:r>
          </w:p>
        </w:tc>
        <w:tc>
          <w:tcPr>
            <w:tcW w:w="0" w:type="dxa"/>
            <w:vAlign w:val="bottom"/>
          </w:tcPr>
          <w:p>
            <w:pPr>
              <w:spacing w:after="0"/>
              <w:rPr>
                <w:sz w:val="1"/>
                <w:szCs w:val="1"/>
                <w:color w:val="auto"/>
              </w:rPr>
            </w:pPr>
          </w:p>
        </w:tc>
      </w:tr>
      <w:tr>
        <w:trPr>
          <w:trHeight w:val="223"/>
        </w:trPr>
        <w:tc>
          <w:tcPr>
            <w:tcW w:w="2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Dotdash Meredith</w:t>
            </w:r>
          </w:p>
        </w:tc>
        <w:tc>
          <w:tcPr>
            <w:tcW w:w="2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(188,091)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41,385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277,712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(612)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152,149</w:t>
            </w:r>
          </w:p>
        </w:tc>
        <w:tc>
          <w:tcPr>
            <w:tcW w:w="0" w:type="dxa"/>
            <w:vAlign w:val="bottom"/>
          </w:tcPr>
          <w:p>
            <w:pPr>
              <w:spacing w:after="0"/>
              <w:rPr>
                <w:sz w:val="1"/>
                <w:szCs w:val="1"/>
                <w:color w:val="auto"/>
              </w:rPr>
            </w:pPr>
          </w:p>
        </w:tc>
      </w:tr>
      <w:tr>
        <w:trPr>
          <w:trHeight w:val="230"/>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Angi</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Ads and Leads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168,952</w:t>
            </w:r>
          </w:p>
        </w:tc>
        <w:tc>
          <w:tcPr>
            <w:tcW w:w="0" w:type="dxa"/>
            <w:vAlign w:val="bottom"/>
          </w:tcPr>
          <w:p>
            <w:pPr>
              <w:spacing w:after="0"/>
              <w:rPr>
                <w:sz w:val="1"/>
                <w:szCs w:val="1"/>
                <w:color w:val="auto"/>
              </w:rPr>
            </w:pPr>
          </w:p>
        </w:tc>
      </w:tr>
      <w:tr>
        <w:trPr>
          <w:trHeight w:val="230"/>
        </w:trPr>
        <w:tc>
          <w:tcPr>
            <w:tcW w:w="2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Services</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(52,126)</w:t>
            </w:r>
          </w:p>
        </w:tc>
        <w:tc>
          <w:tcPr>
            <w:tcW w:w="0" w:type="dxa"/>
            <w:vAlign w:val="bottom"/>
          </w:tcPr>
          <w:p>
            <w:pPr>
              <w:spacing w:after="0"/>
              <w:rPr>
                <w:sz w:val="1"/>
                <w:szCs w:val="1"/>
                <w:color w:val="auto"/>
              </w:rPr>
            </w:pPr>
          </w:p>
        </w:tc>
      </w:tr>
      <w:tr>
        <w:trPr>
          <w:trHeight w:val="229"/>
        </w:trPr>
        <w:tc>
          <w:tcPr>
            <w:tcW w:w="266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(a)</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(49,866)</w:t>
            </w:r>
          </w:p>
        </w:tc>
        <w:tc>
          <w:tcPr>
            <w:tcW w:w="0" w:type="dxa"/>
            <w:vAlign w:val="bottom"/>
          </w:tcPr>
          <w:p>
            <w:pPr>
              <w:spacing w:after="0"/>
              <w:rPr>
                <w:sz w:val="1"/>
                <w:szCs w:val="1"/>
                <w:color w:val="auto"/>
              </w:rPr>
            </w:pPr>
          </w:p>
        </w:tc>
      </w:tr>
      <w:tr>
        <w:trPr>
          <w:trHeight w:val="229"/>
        </w:trPr>
        <w:tc>
          <w:tcPr>
            <w:tcW w:w="2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International</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0" w:type="dxa"/>
            <w:vAlign w:val="bottom"/>
          </w:tcPr>
          <w:p>
            <w:pPr>
              <w:spacing w:after="0"/>
              <w:rPr>
                <w:sz w:val="1"/>
                <w:szCs w:val="1"/>
                <w:color w:val="auto"/>
              </w:rPr>
            </w:pPr>
          </w:p>
        </w:tc>
      </w:tr>
      <w:tr>
        <w:trPr>
          <w:trHeight w:val="223"/>
        </w:trPr>
        <w:tc>
          <w:tcPr>
            <w:tcW w:w="2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Angi</w:t>
            </w:r>
          </w:p>
        </w:tc>
        <w:tc>
          <w:tcPr>
            <w:tcW w:w="2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(75,620)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50,802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77,523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66,479</w:t>
            </w:r>
          </w:p>
        </w:tc>
        <w:tc>
          <w:tcPr>
            <w:tcW w:w="0" w:type="dxa"/>
            <w:vAlign w:val="bottom"/>
          </w:tcPr>
          <w:p>
            <w:pPr>
              <w:spacing w:after="0"/>
              <w:rPr>
                <w:sz w:val="1"/>
                <w:szCs w:val="1"/>
                <w:color w:val="auto"/>
              </w:rPr>
            </w:pPr>
          </w:p>
        </w:tc>
      </w:tr>
      <w:tr>
        <w:trPr>
          <w:trHeight w:val="229"/>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Care.com</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31,189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46,899</w:t>
            </w: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Search</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83,486</w:t>
            </w:r>
          </w:p>
        </w:tc>
        <w:tc>
          <w:tcPr>
            <w:tcW w:w="0" w:type="dxa"/>
            <w:vAlign w:val="bottom"/>
          </w:tcPr>
          <w:p>
            <w:pPr>
              <w:spacing w:after="0"/>
              <w:rPr>
                <w:sz w:val="1"/>
                <w:szCs w:val="1"/>
                <w:color w:val="auto"/>
              </w:rPr>
            </w:pPr>
          </w:p>
        </w:tc>
      </w:tr>
      <w:tr>
        <w:trPr>
          <w:trHeight w:val="229"/>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Emerging &amp; Other</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(188,028)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112,753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(69,942)</w:t>
            </w:r>
          </w:p>
        </w:tc>
        <w:tc>
          <w:tcPr>
            <w:tcW w:w="0" w:type="dxa"/>
            <w:vAlign w:val="bottom"/>
          </w:tcPr>
          <w:p>
            <w:pPr>
              <w:spacing w:after="0"/>
              <w:rPr>
                <w:sz w:val="1"/>
                <w:szCs w:val="1"/>
                <w:color w:val="auto"/>
              </w:rPr>
            </w:pPr>
          </w:p>
        </w:tc>
      </w:tr>
      <w:tr>
        <w:trPr>
          <w:trHeight w:val="229"/>
        </w:trPr>
        <w:tc>
          <w:tcPr>
            <w:tcW w:w="26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Corporate</w:t>
            </w:r>
            <w:r>
              <w:rPr>
                <w:rFonts w:ascii="Times New Roman" w:cs="Times New Roman" w:eastAsia="Times New Roman" w:hAnsi="Times New Roman"/>
                <w:sz w:val="23"/>
                <w:szCs w:val="23"/>
                <w:color w:val="auto"/>
                <w:vertAlign w:val="superscript"/>
              </w:rPr>
              <w:t>(b)</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48,546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(79,521)</w:t>
            </w:r>
          </w:p>
        </w:tc>
        <w:tc>
          <w:tcPr>
            <w:tcW w:w="0" w:type="dxa"/>
            <w:vAlign w:val="bottom"/>
          </w:tcPr>
          <w:p>
            <w:pPr>
              <w:spacing w:after="0"/>
              <w:rPr>
                <w:sz w:val="1"/>
                <w:szCs w:val="1"/>
                <w:color w:val="auto"/>
              </w:rPr>
            </w:pPr>
          </w:p>
        </w:tc>
      </w:tr>
      <w:tr>
        <w:trPr>
          <w:trHeight w:val="223"/>
        </w:trPr>
        <w:tc>
          <w:tcPr>
            <w:tcW w:w="2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(474,771)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123,476</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130,986</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307,718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(612)</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112,753</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199,550</w:t>
            </w:r>
          </w:p>
        </w:tc>
        <w:tc>
          <w:tcPr>
            <w:tcW w:w="0" w:type="dxa"/>
            <w:vAlign w:val="bottom"/>
          </w:tcPr>
          <w:p>
            <w:pPr>
              <w:spacing w:after="0"/>
              <w:rPr>
                <w:sz w:val="1"/>
                <w:szCs w:val="1"/>
                <w:color w:val="auto"/>
              </w:rPr>
            </w:pPr>
          </w:p>
        </w:tc>
      </w:tr>
      <w:tr>
        <w:trPr>
          <w:trHeight w:val="20"/>
        </w:trPr>
        <w:tc>
          <w:tcPr>
            <w:tcW w:w="26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6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(110,165)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6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Unrealized loss on investment in</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MGM Resorts International</w:t>
            </w: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(723,515)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66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Loss from continuing operations</w:t>
            </w: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before income taxes</w:t>
            </w: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(1,526,236)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331,087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(1,195,149)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6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Earnings from discontinued</w:t>
            </w: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operations, net of tax</w:t>
            </w:r>
          </w:p>
        </w:tc>
        <w:tc>
          <w:tcPr>
            <w:tcW w:w="2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(1,192,455)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6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Net loss attributable to</w:t>
            </w: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266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Net loss attributable to IAC</w:t>
            </w:r>
          </w:p>
        </w:tc>
        <w:tc>
          <w:tcPr>
            <w:tcW w:w="220" w:type="dxa"/>
            <w:vAlign w:val="bottom"/>
            <w:vMerge w:val="restart"/>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(1,170,170)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shareholders</w:t>
            </w:r>
          </w:p>
        </w:tc>
        <w:tc>
          <w:tcPr>
            <w:tcW w:w="22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13" w:lineRule="exact"/>
        <w:rPr>
          <w:sz w:val="20"/>
          <w:szCs w:val="20"/>
          <w:color w:val="auto"/>
        </w:rPr>
      </w:pPr>
    </w:p>
    <w:p>
      <w:pPr>
        <w:ind w:left="660" w:right="20" w:hanging="328"/>
        <w:spacing w:after="0" w:line="244" w:lineRule="auto"/>
        <w:tabs>
          <w:tab w:leader="none" w:pos="589" w:val="left"/>
        </w:tabs>
        <w:numPr>
          <w:ilvl w:val="0"/>
          <w:numId w:val="5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Operating loss includes $39.2 million of restructuring charges, of which a $7.0 million impairment charge is presented in “Depreciation” in the statement of operations and, therefore, is excluded from Adjusted EBITDA. Restructuring charges included in Adjusted EBITDA are $32.2 million. Operating loss also includes transaction-related expenses in connection with the 2021 acquisition of Meredith of $1.1 million. See “</w:t>
      </w:r>
      <w:r>
        <w:rPr>
          <w:rFonts w:ascii="Times New Roman" w:cs="Times New Roman" w:eastAsia="Times New Roman" w:hAnsi="Times New Roman"/>
          <w:sz w:val="14"/>
          <w:szCs w:val="14"/>
          <w:u w:val="single" w:color="auto"/>
          <w:color w:val="0000FF"/>
        </w:rPr>
        <w:t>Note 2—Summary of Significant Accounting Policies</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u w:val="single" w:color="auto"/>
          <w:color w:val="0000FF"/>
        </w:rPr>
        <w:t>Note 17—Dotdash Meredith Restructuring Charges, Transaction-Related Expenses and Change-in-Control Payments</w:t>
      </w:r>
      <w:r>
        <w:rPr>
          <w:rFonts w:ascii="Times New Roman" w:cs="Times New Roman" w:eastAsia="Times New Roman" w:hAnsi="Times New Roman"/>
          <w:sz w:val="14"/>
          <w:szCs w:val="14"/>
          <w:color w:val="000000"/>
        </w:rPr>
        <w:t>” in the accompanying notes to the financial statements included in “</w:t>
      </w:r>
      <w:r>
        <w:rPr>
          <w:rFonts w:ascii="Times New Roman" w:cs="Times New Roman" w:eastAsia="Times New Roman" w:hAnsi="Times New Roman"/>
          <w:sz w:val="14"/>
          <w:szCs w:val="14"/>
          <w:u w:val="single" w:color="auto"/>
          <w:color w:val="0000FF"/>
        </w:rPr>
        <w:t>Item 8—Financial Statements and Supplementary Data</w:t>
      </w:r>
      <w:r>
        <w:rPr>
          <w:rFonts w:ascii="Times New Roman" w:cs="Times New Roman" w:eastAsia="Times New Roman" w:hAnsi="Times New Roman"/>
          <w:sz w:val="14"/>
          <w:szCs w:val="14"/>
          <w:color w:val="000000"/>
        </w:rPr>
        <w:t>” for</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additional information on impairment and restructuring charges, respectively.</w:t>
      </w:r>
    </w:p>
    <w:p>
      <w:pPr>
        <w:spacing w:after="0" w:line="203" w:lineRule="exact"/>
        <w:rPr>
          <w:rFonts w:ascii="Times New Roman" w:cs="Times New Roman" w:eastAsia="Times New Roman" w:hAnsi="Times New Roman"/>
          <w:sz w:val="19"/>
          <w:szCs w:val="19"/>
          <w:color w:val="auto"/>
          <w:vertAlign w:val="superscript"/>
        </w:rPr>
      </w:pPr>
    </w:p>
    <w:p>
      <w:pPr>
        <w:ind w:left="660" w:right="120" w:hanging="328"/>
        <w:spacing w:after="0" w:line="233" w:lineRule="auto"/>
        <w:tabs>
          <w:tab w:leader="none" w:pos="583" w:val="left"/>
        </w:tabs>
        <w:numPr>
          <w:ilvl w:val="0"/>
          <w:numId w:val="5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Operating loss includes $33.4 million of restructuring charges and $1.4 million of transaction-related expenses in connection with the 2021 acquisition of Meredith. See “</w:t>
      </w:r>
      <w:r>
        <w:rPr>
          <w:rFonts w:ascii="Times New Roman" w:cs="Times New Roman" w:eastAsia="Times New Roman" w:hAnsi="Times New Roman"/>
          <w:sz w:val="14"/>
          <w:szCs w:val="14"/>
          <w:u w:val="single" w:color="auto"/>
          <w:color w:val="0000FF"/>
        </w:rPr>
        <w:t>Note 17—</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FF"/>
        </w:rPr>
        <w:t>Dotdash Meredith Restructuring Charges, Transaction-Related Expenses and Change-in-Control Payments</w:t>
      </w:r>
      <w:r>
        <w:rPr>
          <w:rFonts w:ascii="Times New Roman" w:cs="Times New Roman" w:eastAsia="Times New Roman" w:hAnsi="Times New Roman"/>
          <w:sz w:val="14"/>
          <w:szCs w:val="14"/>
          <w:color w:val="000000"/>
        </w:rPr>
        <w:t>” in the accompanying notes to the financial statements included in “</w:t>
      </w:r>
      <w:r>
        <w:rPr>
          <w:rFonts w:ascii="Times New Roman" w:cs="Times New Roman" w:eastAsia="Times New Roman" w:hAnsi="Times New Roman"/>
          <w:sz w:val="14"/>
          <w:szCs w:val="14"/>
          <w:u w:val="single" w:color="auto"/>
          <w:color w:val="0000FF"/>
        </w:rPr>
        <w:t>Item 8</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u w:val="single" w:color="auto"/>
          <w:color w:val="0000FF"/>
        </w:rPr>
        <w:t>—Financial Statements and Supplementary Data</w:t>
      </w:r>
      <w:r>
        <w:rPr>
          <w:rFonts w:ascii="Times New Roman" w:cs="Times New Roman" w:eastAsia="Times New Roman" w:hAnsi="Times New Roman"/>
          <w:sz w:val="14"/>
          <w:szCs w:val="14"/>
          <w:color w:val="000000"/>
        </w:rPr>
        <w:t>” for additional information.</w:t>
      </w:r>
    </w:p>
    <w:p>
      <w:pPr>
        <w:spacing w:after="0" w:line="204" w:lineRule="exact"/>
        <w:rPr>
          <w:rFonts w:ascii="Times New Roman" w:cs="Times New Roman" w:eastAsia="Times New Roman" w:hAnsi="Times New Roman"/>
          <w:sz w:val="19"/>
          <w:szCs w:val="19"/>
          <w:color w:val="auto"/>
          <w:vertAlign w:val="superscript"/>
        </w:rPr>
      </w:pPr>
    </w:p>
    <w:p>
      <w:pPr>
        <w:ind w:left="660" w:right="120" w:hanging="328"/>
        <w:spacing w:after="0" w:line="239" w:lineRule="auto"/>
        <w:tabs>
          <w:tab w:leader="none" w:pos="573" w:val="left"/>
        </w:tabs>
        <w:numPr>
          <w:ilvl w:val="0"/>
          <w:numId w:val="5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Operating loss includes restructuring charges of $7.6 million and transaction-related expenses in connection with the 2021 acquisition of Meredith of $4.7 million. See “</w:t>
      </w:r>
      <w:r>
        <w:rPr>
          <w:rFonts w:ascii="Times New Roman" w:cs="Times New Roman" w:eastAsia="Times New Roman" w:hAnsi="Times New Roman"/>
          <w:sz w:val="14"/>
          <w:szCs w:val="14"/>
          <w:u w:val="single" w:color="auto"/>
          <w:color w:val="0000FF"/>
        </w:rPr>
        <w:t>Note 17—</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FF"/>
        </w:rPr>
        <w:t>Dotdash Meredith Restructuring Charges, Transaction-Related Expenses and Change-in-Control Payments</w:t>
      </w:r>
      <w:r>
        <w:rPr>
          <w:rFonts w:ascii="Times New Roman" w:cs="Times New Roman" w:eastAsia="Times New Roman" w:hAnsi="Times New Roman"/>
          <w:sz w:val="14"/>
          <w:szCs w:val="14"/>
          <w:color w:val="000000"/>
        </w:rPr>
        <w:t>” in the accompanying notes to the financial statements included in “</w:t>
      </w:r>
      <w:r>
        <w:rPr>
          <w:rFonts w:ascii="Times New Roman" w:cs="Times New Roman" w:eastAsia="Times New Roman" w:hAnsi="Times New Roman"/>
          <w:sz w:val="14"/>
          <w:szCs w:val="14"/>
          <w:u w:val="single" w:color="auto"/>
          <w:color w:val="0000FF"/>
        </w:rPr>
        <w:t>Item 8</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u w:val="single" w:color="auto"/>
          <w:color w:val="0000FF"/>
        </w:rPr>
        <w:t>—Financial Statements and Supplementary Data</w:t>
      </w:r>
      <w:r>
        <w:rPr>
          <w:rFonts w:ascii="Times New Roman" w:cs="Times New Roman" w:eastAsia="Times New Roman" w:hAnsi="Times New Roman"/>
          <w:sz w:val="14"/>
          <w:szCs w:val="14"/>
          <w:color w:val="000000"/>
        </w:rPr>
        <w:t>”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8" w:right="339" w:bottom="1440" w:gutter="0" w:footer="0" w:header="0"/>
        </w:sectPr>
      </w:pPr>
    </w:p>
    <w:bookmarkStart w:id="71" w:name="page72"/>
    <w:bookmarkEnd w:id="7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FINANCIAL POSITION, 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Position</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96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60" w:type="dxa"/>
            <w:vAlign w:val="bottom"/>
          </w:tcPr>
          <w:p>
            <w:pPr>
              <w:spacing w:after="0"/>
              <w:rPr>
                <w:sz w:val="16"/>
                <w:szCs w:val="16"/>
                <w:color w:val="auto"/>
              </w:rPr>
            </w:pPr>
          </w:p>
        </w:tc>
      </w:tr>
      <w:tr>
        <w:trPr>
          <w:trHeight w:val="23"/>
        </w:trPr>
        <w:tc>
          <w:tcPr>
            <w:tcW w:w="76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76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7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96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60" w:type="dxa"/>
            <w:vAlign w:val="bottom"/>
          </w:tcPr>
          <w:p>
            <w:pPr>
              <w:spacing w:after="0"/>
              <w:rPr>
                <w:sz w:val="17"/>
                <w:szCs w:val="17"/>
                <w:color w:val="auto"/>
              </w:rPr>
            </w:pPr>
          </w:p>
        </w:tc>
      </w:tr>
      <w:tr>
        <w:trPr>
          <w:trHeight w:val="236"/>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Angi cash and cash equivalents:</w:t>
            </w:r>
          </w:p>
        </w:tc>
        <w:tc>
          <w:tcPr>
            <w:tcW w:w="4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29"/>
        </w:trPr>
        <w:tc>
          <w:tcPr>
            <w:tcW w:w="7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United States</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411,298</w:t>
            </w:r>
          </w:p>
        </w:tc>
        <w:tc>
          <w:tcPr>
            <w:tcW w:w="10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354,341</w:t>
            </w:r>
          </w:p>
        </w:tc>
      </w:tr>
      <w:tr>
        <w:trPr>
          <w:trHeight w:val="229"/>
        </w:trPr>
        <w:tc>
          <w:tcPr>
            <w:tcW w:w="7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All other countries</w:t>
            </w:r>
          </w:p>
        </w:tc>
        <w:tc>
          <w:tcPr>
            <w:tcW w:w="4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5,136</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9,703</w:t>
            </w:r>
          </w:p>
        </w:tc>
      </w:tr>
      <w:tr>
        <w:trPr>
          <w:trHeight w:val="223"/>
        </w:trPr>
        <w:tc>
          <w:tcPr>
            <w:tcW w:w="76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Angi cash and cash equivalents</w:t>
            </w:r>
          </w:p>
        </w:tc>
        <w:tc>
          <w:tcPr>
            <w:tcW w:w="4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416,434</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364,044</w:t>
            </w:r>
          </w:p>
        </w:tc>
      </w:tr>
      <w:tr>
        <w:trPr>
          <w:trHeight w:val="237"/>
        </w:trPr>
        <w:tc>
          <w:tcPr>
            <w:tcW w:w="76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2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Dotdash Meredith cash and cash equivalents:</w:t>
            </w:r>
          </w:p>
        </w:tc>
        <w:tc>
          <w:tcPr>
            <w:tcW w:w="4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7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United States</w:t>
            </w: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230,436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243,801</w:t>
            </w:r>
          </w:p>
        </w:tc>
      </w:tr>
      <w:tr>
        <w:trPr>
          <w:trHeight w:val="230"/>
        </w:trPr>
        <w:tc>
          <w:tcPr>
            <w:tcW w:w="76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All other countries</w:t>
            </w:r>
          </w:p>
        </w:tc>
        <w:tc>
          <w:tcPr>
            <w:tcW w:w="4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19,491</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17,779</w:t>
            </w:r>
          </w:p>
        </w:tc>
      </w:tr>
      <w:tr>
        <w:trPr>
          <w:trHeight w:val="223"/>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Dotdash Meredith cash and cash equivalents</w:t>
            </w:r>
          </w:p>
        </w:tc>
        <w:tc>
          <w:tcPr>
            <w:tcW w:w="4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249,927</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261,580</w:t>
            </w:r>
          </w:p>
        </w:tc>
      </w:tr>
      <w:tr>
        <w:trPr>
          <w:trHeight w:val="237"/>
        </w:trPr>
        <w:tc>
          <w:tcPr>
            <w:tcW w:w="7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3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IAC (excluding Angi and Dotdash Meredith) cash and cash equivalents and marketable securities:</w:t>
            </w: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7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United States</w:t>
            </w: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1,093,675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642,613</w:t>
            </w:r>
          </w:p>
        </w:tc>
      </w:tr>
      <w:tr>
        <w:trPr>
          <w:trHeight w:val="229"/>
        </w:trPr>
        <w:tc>
          <w:tcPr>
            <w:tcW w:w="7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All other countries</w:t>
            </w:r>
          </w:p>
        </w:tc>
        <w:tc>
          <w:tcPr>
            <w:tcW w:w="4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38,134</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29,208</w:t>
            </w:r>
          </w:p>
        </w:tc>
      </w:tr>
      <w:tr>
        <w:trPr>
          <w:trHeight w:val="223"/>
        </w:trPr>
        <w:tc>
          <w:tcPr>
            <w:tcW w:w="7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1,131,809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671,821</w:t>
            </w:r>
          </w:p>
        </w:tc>
      </w:tr>
      <w:tr>
        <w:trPr>
          <w:trHeight w:val="229"/>
        </w:trPr>
        <w:tc>
          <w:tcPr>
            <w:tcW w:w="7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Marketable securities (United States)</w:t>
            </w:r>
          </w:p>
        </w:tc>
        <w:tc>
          <w:tcPr>
            <w:tcW w:w="4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148,998</w:t>
            </w:r>
          </w:p>
        </w:tc>
      </w:tr>
      <w:tr>
        <w:trPr>
          <w:trHeight w:val="223"/>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IAC (excluding Angi and Dotdash Meredith) cash and cash equivalents and marketable securities</w:t>
            </w:r>
          </w:p>
        </w:tc>
        <w:tc>
          <w:tcPr>
            <w:tcW w:w="42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1,131,809</w:t>
            </w:r>
          </w:p>
        </w:tc>
        <w:tc>
          <w:tcPr>
            <w:tcW w:w="100" w:type="dxa"/>
            <w:vAlign w:val="bottom"/>
            <w:tcBorders>
              <w:bottom w:val="single" w:sz="8" w:color="CCEEFF"/>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820,819</w:t>
            </w:r>
          </w:p>
        </w:tc>
      </w:tr>
      <w:tr>
        <w:trPr>
          <w:trHeight w:val="196"/>
        </w:trPr>
        <w:tc>
          <w:tcPr>
            <w:tcW w:w="766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spacing w:after="0"/>
              <w:rPr>
                <w:sz w:val="17"/>
                <w:szCs w:val="17"/>
                <w:color w:val="auto"/>
              </w:rPr>
            </w:pPr>
          </w:p>
        </w:tc>
      </w:tr>
      <w:tr>
        <w:trPr>
          <w:trHeight w:val="223"/>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cash and cash equivalents and marketable securities</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1,798,170</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1,446,443</w:t>
            </w:r>
          </w:p>
        </w:tc>
      </w:tr>
      <w:tr>
        <w:trPr>
          <w:trHeight w:val="20"/>
        </w:trPr>
        <w:tc>
          <w:tcPr>
            <w:tcW w:w="76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83"/>
        </w:trPr>
        <w:tc>
          <w:tcPr>
            <w:tcW w:w="76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30"/>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Dotdash Meredith Debt:</w:t>
            </w:r>
          </w:p>
        </w:tc>
        <w:tc>
          <w:tcPr>
            <w:tcW w:w="4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7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Dotdash Meredith Term Loan A</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297,500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315,000</w:t>
            </w:r>
          </w:p>
        </w:tc>
      </w:tr>
      <w:tr>
        <w:trPr>
          <w:trHeight w:val="230"/>
        </w:trPr>
        <w:tc>
          <w:tcPr>
            <w:tcW w:w="7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Dotdash Meredith Term Loan B-1</w:t>
            </w: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1,182,500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Dotdash Meredith Term Loan B</w:t>
            </w:r>
          </w:p>
        </w:tc>
        <w:tc>
          <w:tcPr>
            <w:tcW w:w="4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1,225,000</w:t>
            </w:r>
          </w:p>
        </w:tc>
      </w:tr>
      <w:tr>
        <w:trPr>
          <w:trHeight w:val="223"/>
        </w:trPr>
        <w:tc>
          <w:tcPr>
            <w:tcW w:w="7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Dotdash Meredith long-term debt</w:t>
            </w:r>
          </w:p>
        </w:tc>
        <w:tc>
          <w:tcPr>
            <w:tcW w:w="4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1,480,000</w:t>
            </w:r>
          </w:p>
        </w:tc>
        <w:tc>
          <w:tcPr>
            <w:tcW w:w="10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1,540,000</w:t>
            </w:r>
          </w:p>
        </w:tc>
      </w:tr>
      <w:tr>
        <w:trPr>
          <w:trHeight w:val="229"/>
        </w:trPr>
        <w:tc>
          <w:tcPr>
            <w:tcW w:w="7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Less: current portion of Dotdash Meredith long-term debt</w:t>
            </w: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r>
      <w:tr>
        <w:trPr>
          <w:trHeight w:val="230"/>
        </w:trPr>
        <w:tc>
          <w:tcPr>
            <w:tcW w:w="7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Less: original issue discount</w:t>
            </w: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4,470</w:t>
            </w:r>
          </w:p>
        </w:tc>
      </w:tr>
      <w:tr>
        <w:trPr>
          <w:trHeight w:val="230"/>
        </w:trPr>
        <w:tc>
          <w:tcPr>
            <w:tcW w:w="7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4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6,481</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8,423</w:t>
            </w:r>
          </w:p>
        </w:tc>
      </w:tr>
      <w:tr>
        <w:trPr>
          <w:trHeight w:val="223"/>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Dotdash Meredith long-term debt, net</w:t>
            </w:r>
          </w:p>
        </w:tc>
        <w:tc>
          <w:tcPr>
            <w:tcW w:w="4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1,435,007</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1,497,107</w:t>
            </w:r>
          </w:p>
        </w:tc>
      </w:tr>
      <w:tr>
        <w:trPr>
          <w:trHeight w:val="196"/>
        </w:trPr>
        <w:tc>
          <w:tcPr>
            <w:tcW w:w="76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30"/>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ANGI Group Debt:</w:t>
            </w:r>
          </w:p>
        </w:tc>
        <w:tc>
          <w:tcPr>
            <w:tcW w:w="4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7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ANGI Group Senior Notes</w:t>
            </w: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r>
      <w:tr>
        <w:trPr>
          <w:trHeight w:val="230"/>
        </w:trPr>
        <w:tc>
          <w:tcPr>
            <w:tcW w:w="76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4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3,160</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3,953</w:t>
            </w:r>
          </w:p>
        </w:tc>
      </w:tr>
      <w:tr>
        <w:trPr>
          <w:trHeight w:val="223"/>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ANGI Group long-term debt, net</w:t>
            </w:r>
          </w:p>
        </w:tc>
        <w:tc>
          <w:tcPr>
            <w:tcW w:w="4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496,840</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496,047</w:t>
            </w:r>
          </w:p>
        </w:tc>
      </w:tr>
      <w:tr>
        <w:trPr>
          <w:trHeight w:val="236"/>
        </w:trPr>
        <w:tc>
          <w:tcPr>
            <w:tcW w:w="766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r>
      <w:tr>
        <w:trPr>
          <w:trHeight w:val="248"/>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long-term debt, net</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1,931,847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1,993,154</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120" w:firstLine="445"/>
        <w:spacing w:after="0" w:line="282" w:lineRule="auto"/>
        <w:rPr>
          <w:sz w:val="20"/>
          <w:szCs w:val="20"/>
          <w:color w:val="auto"/>
        </w:rPr>
      </w:pPr>
      <w:r>
        <w:rPr>
          <w:rFonts w:ascii="Times New Roman" w:cs="Times New Roman" w:eastAsia="Times New Roman" w:hAnsi="Times New Roman"/>
          <w:sz w:val="18"/>
          <w:szCs w:val="18"/>
          <w:color w:val="auto"/>
        </w:rPr>
        <w:t>The Company's international cash can be repatriated without significant tax consequences. During the year ended December 31, 2024, international cash repatriated to the U.S. was not material.</w:t>
      </w:r>
    </w:p>
    <w:p>
      <w:pPr>
        <w:spacing w:after="0" w:line="162"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For a detailed description of long-term debt and interest rate swaps, see “</w:t>
      </w:r>
      <w:r>
        <w:rPr>
          <w:rFonts w:ascii="Times New Roman" w:cs="Times New Roman" w:eastAsia="Times New Roman" w:hAnsi="Times New Roman"/>
          <w:sz w:val="18"/>
          <w:szCs w:val="18"/>
          <w:u w:val="single" w:color="auto"/>
          <w:color w:val="0000FF"/>
        </w:rPr>
        <w:t>Note 2—Summary of Significant Accounting Policies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0000FF"/>
        </w:rPr>
        <w:t>Note 6—Long-term Debt</w:t>
      </w:r>
      <w:r>
        <w:rPr>
          <w:rFonts w:ascii="Times New Roman" w:cs="Times New Roman" w:eastAsia="Times New Roman" w:hAnsi="Times New Roman"/>
          <w:sz w:val="18"/>
          <w:szCs w:val="18"/>
          <w:color w:val="000000"/>
        </w:rPr>
        <w:t>” in the accompanying notes to the financial statements included in “</w:t>
      </w:r>
      <w:r>
        <w:rPr>
          <w:rFonts w:ascii="Times New Roman" w:cs="Times New Roman" w:eastAsia="Times New Roman" w:hAnsi="Times New Roman"/>
          <w:sz w:val="18"/>
          <w:szCs w:val="18"/>
          <w:u w:val="single" w:color="auto"/>
          <w:color w:val="0000FF"/>
        </w:rPr>
        <w:t>Item 8—Financial Statements and Supplementary Data</w:t>
      </w:r>
      <w:r>
        <w:rPr>
          <w:rFonts w:ascii="Times New Roman" w:cs="Times New Roman" w:eastAsia="Times New Roman" w:hAnsi="Times New Roman"/>
          <w:sz w:val="18"/>
          <w:szCs w:val="18"/>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3" w:right="37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color w:val="auto"/>
        </w:rPr>
        <w:t>Cash Flow Information</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 summary, IAC's cash flows are as follows: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880" w:type="dxa"/>
            <w:vAlign w:val="bottom"/>
            <w:gridSpan w:val="2"/>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61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1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6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6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6"/>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4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9"/>
        </w:trPr>
        <w:tc>
          <w:tcPr>
            <w:tcW w:w="6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activities attributable to continuing operations</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center"/>
              <w:ind w:left="475"/>
              <w:spacing w:after="0"/>
              <w:rPr>
                <w:sz w:val="20"/>
                <w:szCs w:val="20"/>
                <w:color w:val="auto"/>
              </w:rPr>
            </w:pPr>
            <w:r>
              <w:rPr>
                <w:rFonts w:ascii="Times New Roman" w:cs="Times New Roman" w:eastAsia="Times New Roman" w:hAnsi="Times New Roman"/>
                <w:sz w:val="18"/>
                <w:szCs w:val="18"/>
                <w:color w:val="auto"/>
                <w:w w:val="99"/>
              </w:rPr>
              <w:t>354,518</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189,528</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(82,791)</w:t>
            </w:r>
          </w:p>
        </w:tc>
      </w:tr>
      <w:tr>
        <w:trPr>
          <w:trHeight w:val="230"/>
        </w:trPr>
        <w:tc>
          <w:tcPr>
            <w:tcW w:w="6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Investing activities attributable to continuing operations</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center"/>
              <w:ind w:left="475"/>
              <w:spacing w:after="0"/>
              <w:rPr>
                <w:sz w:val="20"/>
                <w:szCs w:val="20"/>
                <w:color w:val="auto"/>
              </w:rPr>
            </w:pPr>
            <w:r>
              <w:rPr>
                <w:rFonts w:ascii="Times New Roman" w:cs="Times New Roman" w:eastAsia="Times New Roman" w:hAnsi="Times New Roman"/>
                <w:sz w:val="18"/>
                <w:szCs w:val="18"/>
                <w:color w:val="auto"/>
                <w:w w:val="99"/>
              </w:rPr>
              <w:t>276,825</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(87,467)</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(494,808)</w:t>
            </w:r>
          </w:p>
        </w:tc>
      </w:tr>
      <w:tr>
        <w:trPr>
          <w:trHeight w:val="234"/>
        </w:trPr>
        <w:tc>
          <w:tcPr>
            <w:tcW w:w="6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activities attributable to continuing operations</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center"/>
              <w:ind w:left="455"/>
              <w:spacing w:after="0"/>
              <w:rPr>
                <w:sz w:val="20"/>
                <w:szCs w:val="20"/>
                <w:color w:val="auto"/>
              </w:rPr>
            </w:pPr>
            <w:r>
              <w:rPr>
                <w:rFonts w:ascii="Times New Roman" w:cs="Times New Roman" w:eastAsia="Times New Roman" w:hAnsi="Times New Roman"/>
                <w:sz w:val="18"/>
                <w:szCs w:val="18"/>
                <w:color w:val="auto"/>
              </w:rPr>
              <w:t>(129,099)</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(223,013)</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(112,651)</w:t>
            </w:r>
          </w:p>
        </w:tc>
      </w:tr>
    </w:tbl>
    <w:p>
      <w:pPr>
        <w:spacing w:after="0" w:line="287"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attributable to continuing operations consists of net earnings adjusted for non-cash items and the effect of changes in working capital. Non-cash adjustments include the unrealized losses (gains) on the investment in MGM, deferred income taxes, amortization of intangibles, pension and post-retirement benefit (credit) cost, depreciation, stock-based compensation expense, provision for credit losses, goodwill impairment, non-cash lease expense (including ROU asset impairments), unrealized (increase) decrease in the estimated fair value of a warrant and net (gains) losses on sales of businesses and investments in equity securities (including downward and upward adjustments).</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2024</w:t>
      </w:r>
    </w:p>
    <w:p>
      <w:pPr>
        <w:spacing w:after="0" w:line="216" w:lineRule="exact"/>
        <w:rPr>
          <w:sz w:val="20"/>
          <w:szCs w:val="20"/>
          <w:color w:val="auto"/>
        </w:rPr>
      </w:pPr>
    </w:p>
    <w:p>
      <w:pPr>
        <w:ind w:right="20" w:firstLine="324"/>
        <w:spacing w:after="0" w:line="235" w:lineRule="auto"/>
        <w:rPr>
          <w:sz w:val="20"/>
          <w:szCs w:val="20"/>
          <w:color w:val="auto"/>
        </w:rPr>
      </w:pPr>
      <w:r>
        <w:rPr>
          <w:rFonts w:ascii="Times New Roman" w:cs="Times New Roman" w:eastAsia="Times New Roman" w:hAnsi="Times New Roman"/>
          <w:sz w:val="18"/>
          <w:szCs w:val="18"/>
          <w:color w:val="auto"/>
        </w:rPr>
        <w:t xml:space="preserve">Adjustments to net earnings consist primarily of an unrealized loss on the investment in MGM of $649.2 million, amortization of intangibles of $144.5 million, depreciation of $126.9 million, stock-based compensation expense of $112.5 million, provision of credit losses of $61.9 million and non-cash lease expense of $54.1 million, partially offset by deferred income taxes of $181.0 million, an unrealized increase in the estimated fair value of a warrant of $20.4 million, net gains on sales of businesses and investments in equity securities (including downward and upward adjustments) of $10.5 million, including $29.2 million gain on the sale of assets of Mosaic Group in February 2024, and pension and post-retirement benefit credit of $5.5 million. The decrease from changes in working capital include a decrease in operating lease liabilities of $69.8 million, an increase in accounts receivable of $51.8 million and decreases in deferred revenue of $12.5 million and accounts payable and other liabilities of $9.3 million, partially offset by a decrease in other assets of $103.9 million. The decrease in operating lease liabilities is due to cash payments on leases net of interest accretion. The increase in accounts receivable is due primarily to an increase at Angi due primarily to timing of cash receipts and an increase at Dotdash Meredith in revenue in the fourth quarter of 2024 relative to 2023, partially offset by a decrease at Mosaic Group due to cash receipts prior to the sale of its assets and a decrease in revenue at Search in the fourth quarter of 2024 relative to 2023. The decrease in deferred revenue is due primarily to lower annual memberships at Angi, primarily at Ads and Leads, and a decrease at Care.com primarily due to the timing of the utilization of services provided through </w:t>
      </w:r>
      <w:r>
        <w:rPr>
          <w:rFonts w:ascii="Times New Roman" w:cs="Times New Roman" w:eastAsia="Times New Roman" w:hAnsi="Times New Roman"/>
          <w:sz w:val="18"/>
          <w:szCs w:val="18"/>
          <w:i w:val="1"/>
          <w:iCs w:val="1"/>
          <w:color w:val="auto"/>
        </w:rPr>
        <w:t>Care for Business</w:t>
      </w:r>
      <w:r>
        <w:rPr>
          <w:rFonts w:ascii="Times New Roman" w:cs="Times New Roman" w:eastAsia="Times New Roman" w:hAnsi="Times New Roman"/>
          <w:sz w:val="18"/>
          <w:szCs w:val="18"/>
          <w:color w:val="auto"/>
        </w:rPr>
        <w:t xml:space="preserve"> and lower subscriptions on the Care.com platform. The decrease in accounts payable and other liabilities is due primarily to timing of payments and a decrease at Search in accrued traffic acquisition costs and related payables, partially offset by an increase in accrued employee compensation, due primarily to an increase in accrued severance related to headcount reductions at Dotdash Meredith and an increase in accrued bonuses, an increase in accrued professional fees at Corporate and Angi due, in part, to the Distribution and an increase in an accrual at Care.com related to the resolution of certain legal matters. The decrease in other assets is due primarily to a decrease in prepaid hosting services at Corporate, Dotdash Meredith and Angi, receipt of pre-acquisition income tax refunds at Dotdash Meredith, the liquidation of the domestic funded pension plan at Dotdash Meredith in connection with the termination of the plan, lower capitalized sales commissions at Angi due, in part, to a reduction in headcount and payment received at Angi related to insurance coverage for previously incurred legal fees.</w:t>
      </w:r>
    </w:p>
    <w:p>
      <w:pPr>
        <w:spacing w:after="0" w:line="226"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Net cash provided in investing activities includes maturities of marketable debt securities of $375.0 million, net proceeds from the sales of businesses and investments of $177.2 million, including $155 million from the sale of assets of Mosaic Group, net proceeds from the sales of assets of $12.8 million principally from the sale of an aircraft at Dotdash Meredith and collections of notes receivable of $11.8 million. partially offset by $221.8 million for the purchases of marketable debt securities, capital expenditures of $65.5 million, primarily related to investments of $49.5 million in capitalized software at Angi to support its products and services, and the purchase of a retirement investment fund of $16.0 million at Dotdash Meredith in connection with the termination of the domestic funded pension plan and transfer of the remaining assets to the IAC Inc. Retirement Savings Plan.</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73" w:name="page74"/>
    <w:bookmarkEnd w:id="73"/>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Net cash used in financing activities includes payments on the Dotdash Meredith Term Loans of $68.0 million, including a $30.0 million principal prepayment and $8.0 million of additional principal payments made to certain Dotdash Meredith Term Loan B lenders; the $8.0 million in additional principal payments were offset by additional borrowings from new and existing lenders under Dotdash Meredith Term Loan B-1 of $8.0 million. Net cash used in financing activities also includes $28.6 million for the repurchase of 12.6 million shares of Angi Class A common stock, on a settlement date basis, at an average price of $2.27 per share, the purchase of the remaining noncontrolling interests of a foreign subsidiary at Angi of $16.0 million, withholding taxes paid on behalf of IAC employees, excluding Angi, for stock-based awards that were net settled of $15.0 million and withholding taxes paid on behalf of Angi employees for stock-based awards that were net settled of $7.6 million.</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2023</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Adjustments to net earnings consist primarily of amortization of intangibles of $296.0 million, depreciation of $175.1 million, stock-based compensation expense of $117.2 million, non-cash lease expense of $101.7 million, deferred income taxes of $88.8 million, provision of credit losses of $87.7 million, net losses on investments in equity securities (including downward and upward adjustments) and sales of businesses of $19.3 million and goodwill impairment of $9.0 million, partially offset by an unrealized gain on the investment in MGM of $721.7 million and an unrealized increase in the estimated fair value of a warrant of $2.8 million. The decrease from changes in working capital include a decrease in accounts payable and other liabilities of $120.3 million, a decrease in operating lease liabilities of $74.3 million and an increase in accounts receivable of $37.3 million. The decrease in accounts payable and other liabilities is due, in part, to a decrease in accrued traffic acquisition costs and related payables at Search and Dotdash Meredith, a decrease in accrued advertising at Angi and Search and a decrease in accrued employee compensation, due primarily to restructuring related severance payments at Dotdash Meredith. The decrease in operating lease liabilities is due to cash payments on leases net of interest accretion. The increase in accounts receivable is due primarily to timing of cash receipts at Angi and an increase in revenue relative to the fourth quarter of 2022 at Dotdash Meredith Digital, partially offset by a decrease in revenue relative to the fourth quarter of 2022 at Search.</w:t>
      </w:r>
    </w:p>
    <w:p>
      <w:pPr>
        <w:spacing w:after="0" w:line="192"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Net cash used in investing activities includes $455.4 million for the purchase of marketable debt securities, capital expenditures of $141.4 million, primarily related to payment of approximately $80 million for the acquisition of the formerly leased land under IAC's New York City headquarters building as well as investments of $45.2 million in capitalized software at Angi to support its products and services, and $103.6 million for the purchase of additional preferred shares of Turo, partially offset by maturities of marketable debt securities of $550.0 million, net proceeds from the sales of assets of $29.8 million, including $28.2 million related to the sale of a building at Dotdash Meredith, net proceeds from the sales of businesses and investments of $11.9 million and net collections of notes receivable of $11.3 million.</w:t>
      </w:r>
    </w:p>
    <w:p>
      <w:pPr>
        <w:spacing w:after="0" w:line="187"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Net cash used in financing activities includes the repurchase of 3.2 million shares of IAC common stock, on a settlement date basis, for $165.6 million at an average price of $51.00 per share, principal payments on the Dotdash Meredith Term Loans of $30.0 million, the repurchase of 4.4 million shares of Angi Class A common stock, on a settlement date basis, for $10.9 million at an average price of $2.50 per share, withholding taxes paid on behalf of IAC employees, excluding Angi, for stock-based awards that were net settled of $10.6 million and withholding taxes paid on behalf of Angi employees for stock-based awards that were net settled of $6.0 million.</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74" w:name="page75"/>
    <w:bookmarkEnd w:id="74"/>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2022</w:t>
      </w:r>
    </w:p>
    <w:p>
      <w:pPr>
        <w:spacing w:after="0" w:line="22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 xml:space="preserve">Adjustments to net loss attributable to continuing operations consist primarily of an unrealized loss on the investment in MGM of $723.5 million, amortization of intangibles of $307.7 million, pension and post-retirement benefit cost of $210.0 million, depreciation of $131.0 million, stock-based compensation expense of $123.5 million, provision of credit losses of $116.6 million, goodwill impairment of $112.8 million, non-cash lease expense (including ROU asset impairments) of $70.9 million and an unrealized decrease in the estimated fair value of a warrant of $62.5 million, partially offset by deferred income taxes of $337.8 million and net gains on sales of businesses and investments in equity securities (including downward and upward adjustments) of $39.0 million. The decrease from changes in working capital include a decrease in accounts payable and other liabilities of $247.9 million, an increase in accounts receivable of $66.7 million, a decrease in operating lease liabilities of $63.8 million and a decrease in deferred revenue of $11.0 million. The decrease in accounts payable and other liabilities is due primarily to (i) a decrease in accrued employee compensation due, in part, to change-in-control payments, partially offset by an increase in restructuring charges, at Dotdash Meredith, (ii) a decrease in accrued traffic acquisition costs and related payables at Search, (iii) a decrease in accounts payable at Dotdash Meredith due primarily to timing of payments and lower spend due to the discontinuation of certain print publications, (iv) a payment of pre-acquisition income tax indemnification liabilities at Dotdash Meredith and (v) a decrease in customer deposit liabilities at Dotdash Meredith due, in part, to the discontinuation of certain print publications. The increase in accounts receivable is due primarily to revenue growth at Angi, primarily attributable to Services, and an increase in revenue related to various production deals at IAC Films, partially offset by a decrease in revenue at Search and a decrease at Dotdash Meredith primarily due to the discontinuation of certain publications, reduced circulation of other publications and continued secular declines at Print and decreases in performance marketing and advertising revenue at Digital. The decrease in operating lease liabilities is due to cash payments on leases net of interest accretion. The decrease in deferred revenue is due primarily to timing of the utilization of services provided through </w:t>
      </w:r>
      <w:r>
        <w:rPr>
          <w:rFonts w:ascii="Times New Roman" w:cs="Times New Roman" w:eastAsia="Times New Roman" w:hAnsi="Times New Roman"/>
          <w:sz w:val="18"/>
          <w:szCs w:val="18"/>
          <w:i w:val="1"/>
          <w:iCs w:val="1"/>
          <w:color w:val="auto"/>
        </w:rPr>
        <w:t>Care for Business</w:t>
      </w:r>
      <w:r>
        <w:rPr>
          <w:rFonts w:ascii="Times New Roman" w:cs="Times New Roman" w:eastAsia="Times New Roman" w:hAnsi="Times New Roman"/>
          <w:sz w:val="18"/>
          <w:szCs w:val="18"/>
          <w:color w:val="auto"/>
        </w:rPr>
        <w:t xml:space="preserve"> at Care.com, lower annual memberships at Angi, primarily at Ads and Leads, and a decrease in Digital licensing contracts at Dotdash Meredith.</w:t>
      </w:r>
    </w:p>
    <w:p>
      <w:pPr>
        <w:spacing w:after="0" w:line="192"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attributable to continuing operations includes $244.3 million for the purchase of 5.7 million additional shares of MGM, $233.9 million for the purchase of marketable debt securities and capital expenditures of $139.8 million primarily related to investments in capitalized software at Angi, Care.com and Dotdash Meredith, partially offset by net proceeds from the sale of certain businesses and investments of $90.8 million and collections of notes receivable of $19.5 million.</w:t>
      </w:r>
    </w:p>
    <w:p>
      <w:pPr>
        <w:spacing w:after="0" w:line="180"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Net cash used in financing activities attributable to continuing operations includes the repurchase of 1.1 million shares of IAC common stock, on a settlement date basis, for $85.3 million at an average price of $77.44 per share, principal payments on the Dotdash Meredith Terms of $30.0 million, withholding taxes paid on behalf of IAC employees, excluding Angi, for stock-based awards that were net settled of $18.1 million, withholding taxes paid on behalf of Angi employees for stock-based awards that were net settled of $8.8 million and the repurchase of 1.0 million shares of Angi Class A common stock, on a settlement date basis, for $8.1 million at an average price of $7.80 per share, partially offset by proceeds from the issuance of Vivian Health preferred shares, net of fees of $34.7 million.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Financing Arrangements</w:t>
      </w:r>
    </w:p>
    <w:p>
      <w:pPr>
        <w:spacing w:after="0" w:line="216" w:lineRule="exact"/>
        <w:rPr>
          <w:sz w:val="20"/>
          <w:szCs w:val="20"/>
          <w:color w:val="auto"/>
        </w:rPr>
      </w:pPr>
    </w:p>
    <w:p>
      <w:pPr>
        <w:ind w:firstLine="324"/>
        <w:spacing w:after="0"/>
        <w:rPr>
          <w:sz w:val="20"/>
          <w:szCs w:val="20"/>
          <w:color w:val="auto"/>
        </w:rPr>
      </w:pPr>
      <w:r>
        <w:rPr>
          <w:rFonts w:ascii="Times New Roman" w:cs="Times New Roman" w:eastAsia="Times New Roman" w:hAnsi="Times New Roman"/>
          <w:sz w:val="18"/>
          <w:szCs w:val="18"/>
          <w:color w:val="auto"/>
        </w:rPr>
        <w:t>On November 26, 2024, the Company entered into the Amended Dotdash Meredith Credit Agreement, which governs both the existing Dotdash Meredith Term Loan A and the Dotdash Meredith Revolving Facility. Prior to the effectiveness of the Amended Dotdash Meredith Credit Agreement, Dotdash Meredith Term Loan B bore an interest rate of Adjusted Term SOFR plus 4.00%, plus a varying adjustment of 0.10%, 0.15% or 0.25% based upon the duration of the borrowing period. The Amended Dotdash Meredith Credit Agreement reset the interest rate on Dotdash Meredith Term Loan B-1 to Adjusted Term SOFR plus 3.50% and removed the varying adjustment. At December 31, 2024, Dotdash Meredith Term Loan B-1 bore interest at Adjusted Term SOFR, subject to a minimum of 0.50%, plus 3.50%, or 8.05%. Immediately prior to the effectiveness of the Amended Dotdash Meredith Credit Agreement, the Company prepaid $30 million in aggregate principal of Dotdash Meredith Term Loan B.</w:t>
      </w:r>
    </w:p>
    <w:p>
      <w:pPr>
        <w:spacing w:after="0" w:line="212"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For a detailed description of long-term debt, see “</w:t>
      </w:r>
      <w:r>
        <w:rPr>
          <w:rFonts w:ascii="Times New Roman" w:cs="Times New Roman" w:eastAsia="Times New Roman" w:hAnsi="Times New Roman"/>
          <w:sz w:val="18"/>
          <w:szCs w:val="18"/>
          <w:u w:val="single" w:color="auto"/>
          <w:color w:val="0000FF"/>
        </w:rPr>
        <w:t>Note 6—Long-term Debt</w:t>
      </w:r>
      <w:r>
        <w:rPr>
          <w:rFonts w:ascii="Times New Roman" w:cs="Times New Roman" w:eastAsia="Times New Roman" w:hAnsi="Times New Roman"/>
          <w:sz w:val="18"/>
          <w:szCs w:val="18"/>
          <w:color w:val="auto"/>
        </w:rPr>
        <w:t>” in the accompanying notes to the financial statements included in “</w:t>
      </w:r>
      <w:r>
        <w:rPr>
          <w:rFonts w:ascii="Times New Roman" w:cs="Times New Roman" w:eastAsia="Times New Roman" w:hAnsi="Times New Roman"/>
          <w:sz w:val="18"/>
          <w:szCs w:val="18"/>
          <w:u w:val="single" w:color="auto"/>
          <w:color w:val="0000FF"/>
        </w:rPr>
        <w:t>Item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—Financial Statements and Supplementary Data</w:t>
      </w:r>
      <w:r>
        <w:rPr>
          <w:rFonts w:ascii="Times New Roman" w:cs="Times New Roman" w:eastAsia="Times New Roman" w:hAnsi="Times New Roman"/>
          <w:sz w:val="18"/>
          <w:szCs w:val="18"/>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3" w:right="359" w:bottom="1440" w:gutter="0" w:footer="0" w:header="0"/>
        </w:sectPr>
      </w:pPr>
    </w:p>
    <w:bookmarkStart w:id="75" w:name="page76"/>
    <w:bookmarkEnd w:id="75"/>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Investment in MGM</w:t>
      </w:r>
    </w:p>
    <w:p>
      <w:pPr>
        <w:spacing w:after="0" w:line="229"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At December 31, 2024, the Company owns 64.7 million common shares of MGM. Based on the number of MGM common shares outstanding at December 31, 2024, the Company owns 22.0% of MGM.</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Investment in Turo</w:t>
      </w:r>
    </w:p>
    <w:p>
      <w:pPr>
        <w:spacing w:after="0" w:line="229"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The Company net settled its Turo warrant on July 23, 2024 (the warrant expiration date) for 4.5 million shares of Series E-2 preferred stock, bringing IAC's ownership percentage in Turo to approximately 32% at December 31, 2024.</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Authorizations and Activity</w:t>
      </w:r>
    </w:p>
    <w:p>
      <w:pPr>
        <w:spacing w:after="0" w:line="229"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At February 7, 2025, IAC had 3.7 million shares remaining in its share repurchase authorization. There were no repurchases of IAC common stock in 2024.</w:t>
      </w:r>
    </w:p>
    <w:p>
      <w:pPr>
        <w:spacing w:after="0" w:line="162" w:lineRule="exact"/>
        <w:rPr>
          <w:sz w:val="20"/>
          <w:szCs w:val="20"/>
          <w:color w:val="auto"/>
        </w:rPr>
      </w:pPr>
    </w:p>
    <w:p>
      <w:pPr>
        <w:ind w:right="320" w:firstLine="324"/>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2024, Angi repurchased 12.5 million shares of its Class A common stock, on a trade date basis, at an average price of $2.27 per share, or $28.4 million in aggregate. During the fourth quarter of 2023, Angi announced its intent to repurchase the 14.0 million shares remaining in its stock repurchase authorization from March 2020 (the “2020 Share Authorization”). On August 2, 2024, the board of directors of Angi approved a new stock repurchase authorization of 25 million shares (the “2024 Share Authorization”). As of August 19, 2024, Angi had no shares remaining under the 2020 Authorization. As of February 7, 2025, Angi had 23.1 million shares remaining in its 2024 Share Authorization.</w:t>
      </w:r>
    </w:p>
    <w:p>
      <w:pPr>
        <w:spacing w:after="0" w:line="183"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IAC and Angi may repurchase shares pursuant to their repurchase authorizations over an indefinite period of time in the open market and in privately negotiated transactions, depending on those factors management deems relevant at any particular time, including, without limitation, market conditions, price and future outlook.</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22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 Company enters into various contractual arrangements as a part of its continued operations. Material contractual obligations as of December 31, 2024 are described in the accompanying notes to the financial statements within “</w:t>
      </w:r>
      <w:r>
        <w:rPr>
          <w:rFonts w:ascii="Times New Roman" w:cs="Times New Roman" w:eastAsia="Times New Roman" w:hAnsi="Times New Roman"/>
          <w:sz w:val="18"/>
          <w:szCs w:val="18"/>
          <w:u w:val="single" w:color="auto"/>
          <w:color w:val="0000FF"/>
        </w:rPr>
        <w:t>Item 8—Financial Statements and Supplementary Data</w:t>
      </w:r>
      <w:r>
        <w:rPr>
          <w:rFonts w:ascii="Times New Roman" w:cs="Times New Roman" w:eastAsia="Times New Roman" w:hAnsi="Times New Roman"/>
          <w:sz w:val="18"/>
          <w:szCs w:val="18"/>
          <w:color w:val="auto"/>
        </w:rPr>
        <w:t>”; these include operating leases as described in “</w:t>
      </w:r>
      <w:r>
        <w:rPr>
          <w:rFonts w:ascii="Times New Roman" w:cs="Times New Roman" w:eastAsia="Times New Roman" w:hAnsi="Times New Roman"/>
          <w:sz w:val="18"/>
          <w:szCs w:val="18"/>
          <w:u w:val="single" w:color="auto"/>
          <w:color w:val="0000FF"/>
        </w:rPr>
        <w:t>Note 5—Leases</w:t>
      </w:r>
      <w:r>
        <w:rPr>
          <w:rFonts w:ascii="Times New Roman" w:cs="Times New Roman" w:eastAsia="Times New Roman" w:hAnsi="Times New Roman"/>
          <w:sz w:val="18"/>
          <w:szCs w:val="18"/>
          <w:color w:val="auto"/>
        </w:rPr>
        <w:t>,” principal and interest payments on long-term debt as described in “</w:t>
      </w:r>
      <w:r>
        <w:rPr>
          <w:rFonts w:ascii="Times New Roman" w:cs="Times New Roman" w:eastAsia="Times New Roman" w:hAnsi="Times New Roman"/>
          <w:sz w:val="18"/>
          <w:szCs w:val="18"/>
          <w:u w:val="single" w:color="auto"/>
          <w:color w:val="0000FF"/>
        </w:rPr>
        <w:t>Note 6—Long-Term Debt</w:t>
      </w:r>
      <w:r>
        <w:rPr>
          <w:rFonts w:ascii="Times New Roman" w:cs="Times New Roman" w:eastAsia="Times New Roman" w:hAnsi="Times New Roman"/>
          <w:sz w:val="18"/>
          <w:szCs w:val="18"/>
          <w:color w:val="auto"/>
        </w:rPr>
        <w:t>” and pension and post-retirement benefits as described in “</w:t>
      </w:r>
      <w:r>
        <w:rPr>
          <w:rFonts w:ascii="Times New Roman" w:cs="Times New Roman" w:eastAsia="Times New Roman" w:hAnsi="Times New Roman"/>
          <w:sz w:val="18"/>
          <w:szCs w:val="18"/>
          <w:u w:val="single" w:color="auto"/>
          <w:color w:val="0000FF"/>
        </w:rPr>
        <w:t>Note 11—Pension and Post-Retirement Benefit Plans</w:t>
      </w:r>
      <w:r>
        <w:rPr>
          <w:rFonts w:ascii="Times New Roman" w:cs="Times New Roman" w:eastAsia="Times New Roman" w:hAnsi="Times New Roman"/>
          <w:sz w:val="18"/>
          <w:szCs w:val="18"/>
          <w:color w:val="auto"/>
        </w:rPr>
        <w:t>.” On January 28, 2025, the Company entered into an agreement to terminate its lease for unoccupied office space that otherwise would have expired in 2032 for total payments of $43.1 million, of which $21.6 million was paid in January 2025 and the remaining balance will be paid in April 2025. The gain on the lease termination of $36.2 million will be recognized in the first quarter of 2025. The termination of this lease reduces future fixed lease payments by $101.7 million.</w:t>
      </w:r>
    </w:p>
    <w:p>
      <w:pPr>
        <w:spacing w:after="0" w:line="18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has material purchase obligations, which represent legally binding agreements to purchase goods and services that specify all significant terms. Future payments under these agreements at December 31, 2024 are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0" w:type="dxa"/>
            <w:vAlign w:val="bottom"/>
            <w:gridSpan w:val="9"/>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Amount of Commitment Expiration Per Period</w:t>
            </w:r>
          </w:p>
        </w:tc>
        <w:tc>
          <w:tcPr>
            <w:tcW w:w="1580" w:type="dxa"/>
            <w:vAlign w:val="bottom"/>
          </w:tcPr>
          <w:p>
            <w:pPr>
              <w:spacing w:after="0"/>
              <w:rPr>
                <w:sz w:val="16"/>
                <w:szCs w:val="16"/>
                <w:color w:val="auto"/>
              </w:rPr>
            </w:pPr>
          </w:p>
        </w:tc>
      </w:tr>
      <w:tr>
        <w:trPr>
          <w:trHeight w:val="23"/>
        </w:trPr>
        <w:tc>
          <w:tcPr>
            <w:tcW w:w="29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31"/>
        </w:trPr>
        <w:tc>
          <w:tcPr>
            <w:tcW w:w="2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gridSpan w:val="2"/>
          </w:tcPr>
          <w:p>
            <w:pPr>
              <w:jc w:val="center"/>
              <w:ind w:right="400"/>
              <w:spacing w:after="0" w:line="131"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340" w:type="dxa"/>
            <w:vAlign w:val="bottom"/>
          </w:tcPr>
          <w:p>
            <w:pPr>
              <w:spacing w:after="0"/>
              <w:rPr>
                <w:sz w:val="11"/>
                <w:szCs w:val="11"/>
                <w:color w:val="auto"/>
              </w:rPr>
            </w:pPr>
          </w:p>
        </w:tc>
        <w:tc>
          <w:tcPr>
            <w:tcW w:w="1160" w:type="dxa"/>
            <w:vAlign w:val="bottom"/>
          </w:tcPr>
          <w:p>
            <w:pPr>
              <w:jc w:val="right"/>
              <w:ind w:right="584"/>
              <w:spacing w:after="0" w:line="131" w:lineRule="exact"/>
              <w:rPr>
                <w:sz w:val="20"/>
                <w:szCs w:val="20"/>
                <w:color w:val="auto"/>
              </w:rPr>
            </w:pPr>
            <w:r>
              <w:rPr>
                <w:rFonts w:ascii="Times New Roman" w:cs="Times New Roman" w:eastAsia="Times New Roman" w:hAnsi="Times New Roman"/>
                <w:sz w:val="14"/>
                <w:szCs w:val="14"/>
                <w:b w:val="1"/>
                <w:bCs w:val="1"/>
                <w:color w:val="auto"/>
              </w:rPr>
              <w:t>1-3</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tcPr>
          <w:p>
            <w:pPr>
              <w:jc w:val="right"/>
              <w:ind w:right="584"/>
              <w:spacing w:after="0" w:line="131" w:lineRule="exact"/>
              <w:rPr>
                <w:sz w:val="20"/>
                <w:szCs w:val="20"/>
                <w:color w:val="auto"/>
              </w:rPr>
            </w:pPr>
            <w:r>
              <w:rPr>
                <w:rFonts w:ascii="Times New Roman" w:cs="Times New Roman" w:eastAsia="Times New Roman" w:hAnsi="Times New Roman"/>
                <w:sz w:val="14"/>
                <w:szCs w:val="14"/>
                <w:b w:val="1"/>
                <w:bCs w:val="1"/>
                <w:color w:val="auto"/>
              </w:rPr>
              <w:t>3-5</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40" w:type="dxa"/>
            <w:vAlign w:val="bottom"/>
            <w:gridSpan w:val="3"/>
          </w:tcPr>
          <w:p>
            <w:pPr>
              <w:jc w:val="center"/>
              <w:ind w:right="660"/>
              <w:spacing w:after="0" w:line="131" w:lineRule="exact"/>
              <w:rPr>
                <w:sz w:val="20"/>
                <w:szCs w:val="20"/>
                <w:color w:val="auto"/>
              </w:rPr>
            </w:pPr>
            <w:r>
              <w:rPr>
                <w:rFonts w:ascii="Times New Roman" w:cs="Times New Roman" w:eastAsia="Times New Roman" w:hAnsi="Times New Roman"/>
                <w:sz w:val="14"/>
                <w:szCs w:val="14"/>
                <w:b w:val="1"/>
                <w:bCs w:val="1"/>
                <w:color w:val="auto"/>
              </w:rPr>
              <w:t>More Than</w:t>
            </w:r>
          </w:p>
        </w:tc>
        <w:tc>
          <w:tcPr>
            <w:tcW w:w="1580" w:type="dxa"/>
            <w:vAlign w:val="bottom"/>
          </w:tcPr>
          <w:p>
            <w:pPr>
              <w:jc w:val="center"/>
              <w:ind w:right="202"/>
              <w:spacing w:after="0" w:line="131" w:lineRule="exact"/>
              <w:rPr>
                <w:sz w:val="20"/>
                <w:szCs w:val="20"/>
                <w:color w:val="auto"/>
              </w:rPr>
            </w:pPr>
            <w:r>
              <w:rPr>
                <w:rFonts w:ascii="Times New Roman" w:cs="Times New Roman" w:eastAsia="Times New Roman" w:hAnsi="Times New Roman"/>
                <w:sz w:val="14"/>
                <w:szCs w:val="14"/>
                <w:b w:val="1"/>
                <w:bCs w:val="1"/>
                <w:color w:val="auto"/>
              </w:rPr>
              <w:t>Total Amounts</w:t>
            </w:r>
          </w:p>
        </w:tc>
      </w:tr>
      <w:tr>
        <w:trPr>
          <w:trHeight w:val="195"/>
        </w:trPr>
        <w:tc>
          <w:tcPr>
            <w:tcW w:w="29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4"/>
              </w:rPr>
              <w:t>1 Year</w:t>
            </w: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3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1640" w:type="dxa"/>
            <w:vAlign w:val="bottom"/>
            <w:tcBorders>
              <w:bottom w:val="single" w:sz="8" w:color="auto"/>
            </w:tcBorders>
            <w:gridSpan w:val="3"/>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w w:val="96"/>
              </w:rPr>
              <w:t>5 Years</w:t>
            </w:r>
          </w:p>
        </w:tc>
        <w:tc>
          <w:tcPr>
            <w:tcW w:w="1580" w:type="dxa"/>
            <w:vAlign w:val="bottom"/>
            <w:tcBorders>
              <w:bottom w:val="single" w:sz="8" w:color="auto"/>
            </w:tcBorders>
          </w:tcPr>
          <w:p>
            <w:pPr>
              <w:jc w:val="center"/>
              <w:ind w:right="202"/>
              <w:spacing w:after="0"/>
              <w:rPr>
                <w:sz w:val="20"/>
                <w:szCs w:val="20"/>
                <w:color w:val="auto"/>
              </w:rPr>
            </w:pPr>
            <w:r>
              <w:rPr>
                <w:rFonts w:ascii="Times New Roman" w:cs="Times New Roman" w:eastAsia="Times New Roman" w:hAnsi="Times New Roman"/>
                <w:sz w:val="14"/>
                <w:szCs w:val="14"/>
                <w:b w:val="1"/>
                <w:bCs w:val="1"/>
                <w:color w:val="auto"/>
              </w:rPr>
              <w:t>Committed</w:t>
            </w:r>
          </w:p>
        </w:tc>
      </w:tr>
      <w:tr>
        <w:trPr>
          <w:trHeight w:val="195"/>
        </w:trPr>
        <w:tc>
          <w:tcPr>
            <w:tcW w:w="2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56"/>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obligations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74,667</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20,032</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3"/>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1640" w:type="dxa"/>
            <w:vAlign w:val="bottom"/>
            <w:gridSpan w:val="3"/>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  $</w:t>
            </w:r>
          </w:p>
        </w:tc>
        <w:tc>
          <w:tcPr>
            <w:tcW w:w="15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94,699</w:t>
            </w: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Purchase obligations include future payments of (i) $32.6 million related to cloud computing arrangements, (ii) $12.6 million related to email marketing services, (iii) $12.0 million related to advertisement placement services in 2025, (iv) $8.8 million related to research tools and (v) $6.4 million related to office productivity and email tools.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229" w:lineRule="exact"/>
        <w:rPr>
          <w:sz w:val="20"/>
          <w:szCs w:val="20"/>
          <w:color w:val="auto"/>
        </w:rPr>
      </w:pPr>
    </w:p>
    <w:p>
      <w:pPr>
        <w:ind w:right="420" w:firstLine="324"/>
        <w:spacing w:after="0" w:line="266" w:lineRule="auto"/>
        <w:rPr>
          <w:sz w:val="20"/>
          <w:szCs w:val="20"/>
          <w:color w:val="auto"/>
        </w:rPr>
      </w:pPr>
      <w:r>
        <w:rPr>
          <w:rFonts w:ascii="Times New Roman" w:cs="Times New Roman" w:eastAsia="Times New Roman" w:hAnsi="Times New Roman"/>
          <w:sz w:val="18"/>
          <w:szCs w:val="18"/>
          <w:color w:val="auto"/>
        </w:rPr>
        <w:t>The Company anticipates that it will need to make capital expenditures in connection with the development and expansion of its operations. The Company's 2025 capital expenditures are expected to be higher than its 2024 capital expenditures of $65.5 million by approximately 20% to 30%, due primarily to an increase in capitalized software at Angi and Dotdash Meredith.</w:t>
      </w:r>
    </w:p>
    <w:p>
      <w:pPr>
        <w:sectPr>
          <w:pgSz w:w="11900" w:h="16838" w:orient="portrait"/>
          <w:cols w:equalWidth="0" w:num="1">
            <w:col w:w="11240"/>
          </w:cols>
          <w:pgMar w:left="320" w:top="110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type w:val="continuous"/>
        </w:sectPr>
      </w:pPr>
    </w:p>
    <w:bookmarkStart w:id="76" w:name="page77"/>
    <w:bookmarkEnd w:id="76"/>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Liquidity Assessment</w:t>
      </w:r>
    </w:p>
    <w:p>
      <w:pPr>
        <w:spacing w:after="0" w:line="216"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On a consolidated basis, the Company generated positive cash flows from operating activities of $354.5 million for the year ended December 31, 2024; excluding the positive cash flows from operating activities of $162.3 million and $155.9 million generated by Dotdash Meredith and Angi, respectively, the Company generated positive cash flows from operating activities of $36.3 million.</w:t>
      </w:r>
    </w:p>
    <w:p>
      <w:pPr>
        <w:spacing w:after="0" w:line="19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At December 31, 2024, the Company's consolidated cash and cash equivalents were $1.8 billion, of which $416.4 million and $249.9 million was held by Angi and Dotdash Meredith, respectively. The Company's consolidated debt consists of $1.5 billion, which is the liability of Dotdash Meredith, Inc., and $500.0 million, which is the liability of ANGI Group, a subsidiary of Angi.</w:t>
      </w:r>
    </w:p>
    <w:p>
      <w:pPr>
        <w:spacing w:after="0" w:line="176"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Amended Dotdash Meredith Credit Agreement contains covenants that would limit Dotdash Meredith’s ability to pay dividends, incur incremental secured indebtedness, or make distributions or certain investments in the event a default has occurred or if Dotdash Meredith’s consolidated net leverage ratio exceeds 4.0 to 1.0, subject to certain available amounts as defined in the Amended Dotdash Meredith Credit Agreement. Dotdash Meredith did not exceed this ratio for the test period ended December 31, 2024. The Amended Dotdash Meredith Credit Agreement also permits IAC to, among other things, contribute cash to Dotdash Meredith which will provide additional liquidity to ensure that Dotdash Meredith does not exceed certain consolidated net leverage ratios for any test period, as further defined in the Amended Dotdash Meredith Credit Agreement. In connection with these capital contributions, Dotdash Meredith may make distributions to IAC in amounts not more than any such capital contributions, provided that no default has occurred and is continuing. Such capital contributions and subsequent distributions impact the consolidated net leverage ratios of Dotdash Meredith. During the year ended December 31, 2024, the Company contributed $125 million to Dotdash Meredith, following which Dotdash Meredith distributed $230 million back to the Company, including $105 million in January 2024 related to the Company's contribution in December 2023. The contributions ceased in September 2024, which Dotdash Meredith distributed back to the Company in October 2024 and, therefore, there are no contributions or distributions outstanding as of December 31, 2024. See “</w:t>
      </w:r>
      <w:r>
        <w:rPr>
          <w:rFonts w:ascii="Times New Roman" w:cs="Times New Roman" w:eastAsia="Times New Roman" w:hAnsi="Times New Roman"/>
          <w:sz w:val="18"/>
          <w:szCs w:val="18"/>
          <w:u w:val="single" w:color="auto"/>
          <w:color w:val="0000FF"/>
        </w:rPr>
        <w:t>Note 6—Long-Term Debt</w:t>
      </w:r>
      <w:r>
        <w:rPr>
          <w:rFonts w:ascii="Times New Roman" w:cs="Times New Roman" w:eastAsia="Times New Roman" w:hAnsi="Times New Roman"/>
          <w:sz w:val="18"/>
          <w:szCs w:val="18"/>
          <w:color w:val="auto"/>
        </w:rPr>
        <w:t>” to the financial statements included in “</w:t>
      </w:r>
      <w:r>
        <w:rPr>
          <w:rFonts w:ascii="Times New Roman" w:cs="Times New Roman" w:eastAsia="Times New Roman" w:hAnsi="Times New Roman"/>
          <w:sz w:val="18"/>
          <w:szCs w:val="18"/>
          <w:u w:val="single" w:color="auto"/>
          <w:color w:val="0000FF"/>
        </w:rPr>
        <w:t>Item 8—Financial Statements and Supplementary Data</w:t>
      </w:r>
      <w:r>
        <w:rPr>
          <w:rFonts w:ascii="Times New Roman" w:cs="Times New Roman" w:eastAsia="Times New Roman" w:hAnsi="Times New Roman"/>
          <w:sz w:val="18"/>
          <w:szCs w:val="18"/>
          <w:color w:val="auto"/>
        </w:rPr>
        <w:t>” for additional information.</w:t>
      </w:r>
    </w:p>
    <w:p>
      <w:pPr>
        <w:spacing w:after="0" w:line="187"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Angi is an independent public company with its own public shareholders and board of directors and has no obligation to provide the Company with funds. As a result, the Company cannot freely access the cash of Angi and its subsidiaries.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liquidity could be negatively affected by a decrease in demand for its products and services due to economic or other factors.</w:t>
      </w:r>
    </w:p>
    <w:p>
      <w:pPr>
        <w:spacing w:after="0" w:line="225"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 Company believes Angi's and Dotdash Meredith's existing cash, cash equivalents and expected positive cash flows from operations, and the Company's existing cash and cash equivalents and expected positive cash flows from operations, excluding Angi and Dotdash Meredith, will be sufficient to fund their respective normal operating requirements, including capital expenditures, debt service, the payment of withholding taxes paid on behalf of employees for net-settled stock-based awards and investing and other commitments for the next twelve months. The Company may need to raise additional capital through future debt or equity financing to make acquisitions and investments. Additional financing may not be available on terms favorable to the Company, or at all, and may also be impacted by any disruptions in the financial markets. The indebtedness at Dotdash Meredith and Angi could further limit the Company's ability to raise additional financing.</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3" w:right="35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The following disclosure is provided to supplement the descriptions of IAC's accounting policies contained in “</w:t>
      </w:r>
      <w:r>
        <w:rPr>
          <w:rFonts w:ascii="Times New Roman" w:cs="Times New Roman" w:eastAsia="Times New Roman" w:hAnsi="Times New Roman"/>
          <w:sz w:val="18"/>
          <w:szCs w:val="18"/>
          <w:u w:val="single" w:color="auto"/>
          <w:color w:val="0000FF"/>
        </w:rPr>
        <w:t>Note 2—Summary of Significant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Accounting Policies</w:t>
      </w:r>
      <w:r>
        <w:rPr>
          <w:rFonts w:ascii="Times New Roman" w:cs="Times New Roman" w:eastAsia="Times New Roman" w:hAnsi="Times New Roman"/>
          <w:sz w:val="18"/>
          <w:szCs w:val="18"/>
          <w:color w:val="000000"/>
        </w:rPr>
        <w:t>” in the accompanying notes to the financial statements included in “</w:t>
      </w:r>
      <w:r>
        <w:rPr>
          <w:rFonts w:ascii="Times New Roman" w:cs="Times New Roman" w:eastAsia="Times New Roman" w:hAnsi="Times New Roman"/>
          <w:sz w:val="18"/>
          <w:szCs w:val="18"/>
          <w:u w:val="single" w:color="auto"/>
          <w:color w:val="0000FF"/>
        </w:rPr>
        <w:t>Item 8—Financial Statements and Supplementary Data</w:t>
      </w:r>
      <w:r>
        <w:rPr>
          <w:rFonts w:ascii="Times New Roman" w:cs="Times New Roman" w:eastAsia="Times New Roman" w:hAnsi="Times New Roman"/>
          <w:sz w:val="18"/>
          <w:szCs w:val="18"/>
          <w:color w:val="000000"/>
        </w:rPr>
        <w:t>” in regard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to significant areas of judgment. Management of the Company is required to make certain estimates, judgments and assumptions during the preparation of its financial statements in accordance with U.S. generally accepted accounting principles (“GAAP”). These estimates, judgments and assumptions affect the amounts and disclosures reported in the financial statements and accompanying notes. Actual results could differ from these estimates. Because of the size of the financial statement elements to which they relate, some of our accounting policies and estimates have a more significant impact on our financial statements than others. What follows is a discussion of some of our more significant accounting policies and estimates.</w:t>
      </w:r>
    </w:p>
    <w:p>
      <w:pPr>
        <w:spacing w:after="0" w:line="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121" w:lineRule="exact"/>
        <w:rPr>
          <w:sz w:val="20"/>
          <w:szCs w:val="20"/>
          <w:color w:val="auto"/>
        </w:rPr>
      </w:pPr>
    </w:p>
    <w:p>
      <w:pPr>
        <w:ind w:right="340" w:firstLine="324"/>
        <w:spacing w:after="0" w:line="266" w:lineRule="auto"/>
        <w:rPr>
          <w:sz w:val="20"/>
          <w:szCs w:val="20"/>
          <w:color w:val="auto"/>
        </w:rPr>
      </w:pPr>
      <w:r>
        <w:rPr>
          <w:rFonts w:ascii="Times New Roman" w:cs="Times New Roman" w:eastAsia="Times New Roman" w:hAnsi="Times New Roman"/>
          <w:sz w:val="18"/>
          <w:szCs w:val="18"/>
          <w:color w:val="auto"/>
        </w:rPr>
        <w:t>Acquisitions, which are generally referred to in GAAP as business combinations, are an important part of the Company's growth strategy. The purchase price of an acquisition is attributed to the assets acquired and liabilities assumed based on their fair values at the date of acquisition, including identifiable intangible assets that either arise from a contractual or legal right or are separable from goodwill.</w:t>
      </w:r>
    </w:p>
    <w:p>
      <w:pPr>
        <w:spacing w:after="0" w:line="6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Management makes two critical determinations at the time of an acquisition: (1) the reporting unit(s) that will benefit from the acquisition and to which goodwill will be assigned and (2) the allocation of the purchase price of the acquired business to the assets acquired and the liabilities assumed based upon their fair values. The reporting unit determination is important beyond the initial allocation of purchase price because future impairment assessments of goodwill, as described below, are performed at the reporting unit level. Historically, when the Company’s acquisitions have been complementary to existing reporting units, the goodwill is allocated to an existing reporting unit. Acquisitions within Emerging &amp; Other usually result in the creation of a new reporting unit because it is a standalone business with unique product offerings, management or target markets. There have been no acquisitions made since the 2021 acquisition of Meredith, for which the allocation of purchase price to the assets acquired and liabilities assumed, the determination of the reporting units and the allocation of goodwill to the reporting units were finalized during the fourth quarter of 2022.</w:t>
      </w:r>
    </w:p>
    <w:p>
      <w:pPr>
        <w:spacing w:after="0" w:line="192"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The allocation of purchase price to the assets acquired and liabilities assumed is based upon their fair values and is complex because of the judgments involved in determining these values. The determination of purchase price and the fair value of monetary assets acquired and liabilities assumed is typically the least complex aspect of the Company’s accounting for business combinations due to management’s experience and/or the inherently lower level of judgment required. Due to the higher degree of complexity associated with the valuation of acquired intangible assets, the Company usually obtains the assistance of outside valuation experts in the allocation of purchase price to the identifiable intangible assets acquired, which can be both definite-lived, such as advertiser relationships, technology, licensee relationships, trade names, content, customer lists and user base, and professional relationships, or indefinite lived, such as trade names and trademarks. While outside valuation experts may be used, management has the ultimate responsibility for the valuation methods, models and inputs used and the resulting purchase price allocation. The excess purchase price over the value of net tangible and identifiable intangible assets acquired is recorded as goodwill and is assigned to the reporting unit(s) expected to benefit from the business combination as of the acquisition date.</w:t>
      </w:r>
    </w:p>
    <w:p>
      <w:pPr>
        <w:spacing w:after="0" w:line="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Recoverability of Goodwill and Indefinite-Lived Intangible Assets</w:t>
      </w:r>
    </w:p>
    <w:p>
      <w:pPr>
        <w:spacing w:after="0" w:line="121"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The carrying value of goodwill is $2.9 billion and $3.0 billion at December 31, 2024 and 2023, respectively. Indefinite-lived intangible assets, which consist of the Company's acquired trade names and trademarks, have a carrying value of $513.1 million and $544.2 million at December 31, 2024 and 2023, respectively.</w:t>
      </w:r>
    </w:p>
    <w:p>
      <w:pPr>
        <w:spacing w:after="0" w:line="68"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Goodwill and indefinite-lived intangible assets are assessed annually for impairment as of October 1 or more frequently if an event occurs or circumstances change that would indicate that it is more likely than not that the fair value of a reporting unit or the fair value of an indefinite-lived intangible asset has declined below its carrying value. In performing its annual goodwill impairment assessment, the Company has the option under GAAP to qualitatively assess whether it is more likely than not that the fair value of a reporting unit is less than its carrying value; if the conclusion of the qualitative assessment is that there are no indicators of impairment, the Company does not perform a quantitative test, which would require a valuation of the reporting unit, as of October 1. GAAP provides a not all-inclusive set of examples of macroeconomic, industry, market and company specific factors for entities to consider in performing the qualitative assessment described above; management considers the factors it deems relevant in making its more-likely-than-not assessments. While the Company has the option under GAAP to qualitatively assess whether it is more likely than not that the fair values of its indefinite-lived intangible assets are less than their carrying values, the Company's policy is to determine the fair value of each of its indefinite-lived intangible assets annually as of October 1, in part, because the level of effort required to perform the quantitative and qualitative assessments is essentially equivalent.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78" w:name="page79"/>
    <w:bookmarkEnd w:id="78"/>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If the conclusion of our qualitative assessment is that there are indicators of impairment and a quantitative test is required, the annual or interim quantitative test of the recovery of goodwill involves a comparison of the estimated fair value of the Company's reporting unit that is being tested to its carrying value. If the estimated fair value of a reporting unit exceeds its carrying value, goodwill of the reporting unit is not impaired. If the carrying value of a reporting unit exceeds its estimated fair value, a goodwill impairment equal to the excess is recorded.</w:t>
      </w:r>
    </w:p>
    <w:p>
      <w:pPr>
        <w:spacing w:after="0" w:line="7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Company’s annual assessment of the recovery of goodwill begins with management’s reassessment of its operating segments and reporting units. A reporting unit is an operating segment or one level below an operating segment, which is referred to as a component. This reassessment of reporting units is also made each time the Company changes its operating segments to the extent that this also results in a change in reporting units. If the goodwill of a reporting unit is allocated to newly formed reporting units, the allocation is usually made to each reporting unit based upon their relative fair values.</w:t>
      </w:r>
    </w:p>
    <w:p>
      <w:pPr>
        <w:spacing w:after="0" w:line="72"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For the Company's annual goodwill test as of October 1, 2024, qualitative assessments of the goodwill of the Dotdash Meredith Digital, Angi International and Vivian Health reporting units were performed because the Company concluded it was more likely than not that the fair value of these reporting units was in excess of their respective carrying values. The primary factors that the Company considered in its qualitative assessment for each of these reporting units are described below:</w:t>
      </w:r>
    </w:p>
    <w:p>
      <w:pPr>
        <w:spacing w:after="0" w:line="72" w:lineRule="exact"/>
        <w:rPr>
          <w:sz w:val="20"/>
          <w:szCs w:val="20"/>
          <w:color w:val="auto"/>
        </w:rPr>
      </w:pPr>
    </w:p>
    <w:p>
      <w:pPr>
        <w:ind w:left="660" w:right="80" w:hanging="247"/>
        <w:spacing w:after="0" w:line="258" w:lineRule="auto"/>
        <w:tabs>
          <w:tab w:leader="none" w:pos="6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considered the strong forecasted operating performance, in addition to actual operating results in the current year of the Dotdash Meredith Digital reporting unit and, based on the Company's latest valuation prepared as of October 1, 2023, the excess of its estimated fair value of the reporting unit compared to its carrying value. The Company also considered the valuations of Dotdash Meredith as of December 31, 2023 and June 30, 2024 that were prepared in connection with the issuance and/or settlement of equity awards that are denominated in its equity. These valuations were prepared time proximate to, however, not as of, October 1, 2024.</w:t>
      </w:r>
    </w:p>
    <w:p>
      <w:pPr>
        <w:spacing w:after="0" w:line="75" w:lineRule="exact"/>
        <w:rPr>
          <w:rFonts w:ascii="Times New Roman" w:cs="Times New Roman" w:eastAsia="Times New Roman" w:hAnsi="Times New Roman"/>
          <w:sz w:val="18"/>
          <w:szCs w:val="18"/>
          <w:color w:val="auto"/>
        </w:rPr>
      </w:pPr>
    </w:p>
    <w:p>
      <w:pPr>
        <w:ind w:left="660" w:right="220" w:hanging="247"/>
        <w:spacing w:after="0" w:line="289" w:lineRule="auto"/>
        <w:tabs>
          <w:tab w:leader="none" w:pos="655"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prepared a valuation of the Angi International and Vivian Health reporting units primarily in connection with the issuance and/or settlement of equity awards that are denominated in the equity of these businesses as of June 30, 2024. These valuations were prepared time proximate to, however, not as of, October 1, 2024. The fair value of these businesses were in excess of their October 1, 2024 carrying values.</w:t>
      </w:r>
    </w:p>
    <w:p>
      <w:pPr>
        <w:spacing w:after="0" w:line="36" w:lineRule="exact"/>
        <w:rPr>
          <w:sz w:val="20"/>
          <w:szCs w:val="20"/>
          <w:color w:val="auto"/>
        </w:rPr>
      </w:pPr>
    </w:p>
    <w:p>
      <w:pPr>
        <w:ind w:right="100" w:firstLine="324"/>
        <w:spacing w:after="0" w:line="250" w:lineRule="auto"/>
        <w:rPr>
          <w:sz w:val="20"/>
          <w:szCs w:val="20"/>
          <w:color w:val="auto"/>
        </w:rPr>
      </w:pPr>
      <w:r>
        <w:rPr>
          <w:rFonts w:ascii="Times New Roman" w:cs="Times New Roman" w:eastAsia="Times New Roman" w:hAnsi="Times New Roman"/>
          <w:sz w:val="18"/>
          <w:szCs w:val="18"/>
          <w:color w:val="auto"/>
        </w:rPr>
        <w:t>For the Company's annual goodwill test at October 1, 2024, the Company quantitatively tested the Angi Ads and Leads, Angi Services, and Care.com reporting units. The Company's quantitative tests resulted in no impairments. The Company's remaining reporting units, Dotdash Meredith Print, Search, The Daily Beast and IAC Films, have no goodwill as of October 1, 2024.</w:t>
      </w:r>
    </w:p>
    <w:p>
      <w:pPr>
        <w:spacing w:after="0" w:line="69"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Given the decline in Angi's and the Company's stock prices after October 1, 2024, the Company subsequently quantitatively tested all reporting units with goodwill as of December 31, 2024 and no impairments were noted.</w:t>
      </w:r>
    </w:p>
    <w:p>
      <w:pPr>
        <w:spacing w:after="0" w:line="54" w:lineRule="exact"/>
        <w:rPr>
          <w:sz w:val="20"/>
          <w:szCs w:val="20"/>
          <w:color w:val="auto"/>
        </w:rPr>
      </w:pPr>
    </w:p>
    <w:p>
      <w:pPr>
        <w:jc w:val="both"/>
        <w:ind w:right="420" w:firstLine="324"/>
        <w:spacing w:after="0" w:line="242" w:lineRule="auto"/>
        <w:rPr>
          <w:sz w:val="20"/>
          <w:szCs w:val="20"/>
          <w:color w:val="auto"/>
        </w:rPr>
      </w:pPr>
      <w:r>
        <w:rPr>
          <w:rFonts w:ascii="Times New Roman" w:cs="Times New Roman" w:eastAsia="Times New Roman" w:hAnsi="Times New Roman"/>
          <w:sz w:val="18"/>
          <w:szCs w:val="18"/>
          <w:color w:val="auto"/>
        </w:rPr>
        <w:t>During the third quarter of 2023 and second quarter of 2022, the Company reassessed the fair value of the Mosaic Group reporting unit (included within Emerging &amp; Other) and recorded goodwill impairments of $9.0 million and $86.7 million, respectively, as a result of the projected reduction in future revenue and profits from the business and lower trading multiples of a selected peer group of companies.</w:t>
      </w:r>
    </w:p>
    <w:p>
      <w:pPr>
        <w:spacing w:after="0" w:line="76" w:lineRule="exact"/>
        <w:rPr>
          <w:sz w:val="20"/>
          <w:szCs w:val="20"/>
          <w:color w:val="auto"/>
        </w:rPr>
      </w:pPr>
    </w:p>
    <w:p>
      <w:pPr>
        <w:ind w:right="20" w:firstLine="324"/>
        <w:spacing w:after="0" w:line="250" w:lineRule="auto"/>
        <w:rPr>
          <w:sz w:val="20"/>
          <w:szCs w:val="20"/>
          <w:color w:val="auto"/>
        </w:rPr>
      </w:pPr>
      <w:r>
        <w:rPr>
          <w:rFonts w:ascii="Times New Roman" w:cs="Times New Roman" w:eastAsia="Times New Roman" w:hAnsi="Times New Roman"/>
          <w:sz w:val="18"/>
          <w:szCs w:val="18"/>
          <w:color w:val="auto"/>
        </w:rPr>
        <w:t>In the fourth quarter of 2022, prior to its sale in 2023, a quantitative assessment was performed on the Roofing reporting unit; this test resulted in a full impairment of $26.0 million due to Roofing exiting certain markets and a projected reduction in future profits from the business, which reduced its fair value.</w:t>
      </w:r>
    </w:p>
    <w:p>
      <w:pPr>
        <w:spacing w:after="0" w:line="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is no goodwill for which the most recent estimate of the excess of fair value over carrying value is less than 20%.</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7" w:right="359" w:bottom="1440" w:gutter="0" w:footer="0" w:header="0"/>
        </w:sectPr>
      </w:pPr>
    </w:p>
    <w:bookmarkStart w:id="79" w:name="page80"/>
    <w:bookmarkEnd w:id="79"/>
    <w:p>
      <w:pPr>
        <w:ind w:firstLine="324"/>
        <w:spacing w:after="0" w:line="252" w:lineRule="auto"/>
        <w:rPr>
          <w:sz w:val="20"/>
          <w:szCs w:val="20"/>
          <w:color w:val="auto"/>
        </w:rPr>
      </w:pPr>
      <w:r>
        <w:rPr>
          <w:rFonts w:ascii="Times New Roman" w:cs="Times New Roman" w:eastAsia="Times New Roman" w:hAnsi="Times New Roman"/>
          <w:sz w:val="18"/>
          <w:szCs w:val="18"/>
          <w:color w:val="auto"/>
        </w:rPr>
        <w:t>The fair value of the Company's reporting units is determined using both an income approach based on discounted cash flows (“DCF”) and a market approach when it tests goodwill for impairment, either on an interim basis or annual basis as of October 1 each year. The Company uses the same approach in determining the fair value of its businesses in connection with its non-public subsidiary denominated stock-based compensation plans, which can be a significant factor in the decision to apply the qualitative assessment rather than a quantitative test. Determining fair value using a DCF analysis requires the exercise of significant judgment with respect to several items, including the amount and timing of expected future cash flows and appropriate discount rates. The expected cash flows used in the DCF analyses are based on the Company's most recent forecast and budget and, for years beyond the budget, the Company's estimates, which are based, in part, on forecasted growth rates. The discount rates used in the DCF analyses are intended to reflect the risks inherent in the expected future cash flows of the respective reporting units. Assumptions used in the DCF analyses, including the discount rate, are assessed based on each reporting unit's current results and forecasted future performance, as well as macroeconomic and industry specific factors. The discount rates used in the quantitative tests as of December 31, 2024 for determining the fair values of the Dotdash Meredith Digital, Angi Ads and Leads, Angi Services, Angi International, Care.com and Vivian Health reporting units were 14.5%, 13%, 14%, 15%, 14.5% and 23%, respectively. The discount rates used in the quantitative tests as of October 1, 2024 for determining the fair values of the Angi Ads and Leads, Angi Services and Care.com reporting units were 12.5%, 13.5% and 14%, respectively. The discount rates used in the quantitative tests as of October 1, 2023 for determining the fair value of the Company's Dotdash Meredith Digital, Care.com and Mosaic Group reporting unit were 15.5%,16% and 16%, respectively. Determining fair value using a market approach considers multiples of financial metrics based on both acquisitions and trading multiples of a selected peer group of companies. From the comparable companies, a representative market multiple is determined, which is applied to financial metrics to estimate the fair value of a reporting unit. To determine a peer group of companies for our respective reporting units, we considered companies relevant in terms of consumer use, monetization model, margin and growth characteristics, and brand strength operating in their respective sectors.</w:t>
      </w:r>
    </w:p>
    <w:p>
      <w:pPr>
        <w:spacing w:after="0" w:line="84"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The Company determines the fair value of indefinite-lived intangible assets using an avoided royalty DCF valuation analysis. Significant judgments inherent in this analysis include the selection of appropriate royalty and discount rates and estimating the amount and timing of expected future cash flows. The discount rates used in the DCF analyses are intended to reflect the risks inherent in the expected future cash flows generated by the respective intangible assets. The royalty rates used in the DCF analyses are based upon an estimate of the royalty rates that a market participant would pay to license the Company's trade names and trademarks. The future cash flows are based on the Company's most recent forecast and budget and, for years beyond the budget, the Company's estimates, which are based, in part, on forecasted growth rates. Assumptions used in the avoided royalty DCF analyses, including the discount rate and royalty rate, are assessed annually based on the actual and projected cash flows related to the asset, as well as macroeconomic and industry specific factors. The discount rates used in the Company's annual indefinite-lived impairment assessment ranged from 12.5% to 14.5% in 2024 and 15% to 17% in 2023, and the royalty rates used ranged from 2% to 8% in both 2024 and 2023. The October 1, 2023 annual quantitative assessment of indefinite-lived intangible assets identified an impairment of $79.9 million related to certain other indefinite-lived trade name intangible assets in the Dotdash Meredith Digital segment. The discount rate used to value these trade names was 15.5% and the royalty rate was 6%.</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80" w:name="page81"/>
    <w:bookmarkEnd w:id="80"/>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the fourth quarter of 2024, the Company identified an impairment charge of $2.6 million related to a certain indefinite-lived trade name at Angi Services. The discount rate used to value this trade name was 14.0% and the royalty rate was 2.5%.</w:t>
      </w:r>
    </w:p>
    <w:p>
      <w:pPr>
        <w:spacing w:after="0" w:line="68"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During the first quarter of 2024, the Company determined that a projected reduction in future revenue related to certain indefinite-lived trade name intangible assets with a carrying value of $20.7 million in the Dotdash Meredith Digital segment resulted in a change in classification to definite-lived intangible assets to be amortized over their respective useful lives. There was no impairment recorded in connection with the change in classification.</w:t>
      </w:r>
    </w:p>
    <w:p>
      <w:pPr>
        <w:spacing w:after="0" w:line="82" w:lineRule="exact"/>
        <w:rPr>
          <w:sz w:val="20"/>
          <w:szCs w:val="20"/>
          <w:color w:val="auto"/>
        </w:rPr>
      </w:pPr>
    </w:p>
    <w:p>
      <w:pPr>
        <w:jc w:val="both"/>
        <w:ind w:firstLine="324"/>
        <w:spacing w:after="0" w:line="246" w:lineRule="auto"/>
        <w:rPr>
          <w:sz w:val="20"/>
          <w:szCs w:val="20"/>
          <w:color w:val="auto"/>
        </w:rPr>
      </w:pPr>
      <w:r>
        <w:rPr>
          <w:rFonts w:ascii="Times New Roman" w:cs="Times New Roman" w:eastAsia="Times New Roman" w:hAnsi="Times New Roman"/>
          <w:sz w:val="18"/>
          <w:szCs w:val="18"/>
          <w:color w:val="auto"/>
        </w:rPr>
        <w:t>During the third quarter of 2023, the Company determined that a projected reduction in future revenue related to a certain indefinite-lived trade name intangible asset in the Dotdash Meredith Digital segment was an indicator of possible impairment. Following the identification of the indicator, the Company updated its calculation of the fair value of the indefinite-lived intangible asset and recorded an impairment of $7.6 million. The discount rate used to value the trade name was 16% and the royalty rate was 8%. A quantitative assessment of this indefinite-lived trade name intangible asset was prepared as of October 1, 2023; this test resulted in no additional impairment as its carrying value approximates its fair value.</w:t>
      </w:r>
    </w:p>
    <w:p>
      <w:pPr>
        <w:spacing w:after="0" w:line="73" w:lineRule="exact"/>
        <w:rPr>
          <w:sz w:val="20"/>
          <w:szCs w:val="20"/>
          <w:color w:val="auto"/>
        </w:rPr>
      </w:pPr>
    </w:p>
    <w:p>
      <w:pPr>
        <w:jc w:val="both"/>
        <w:ind w:right="80" w:firstLine="324"/>
        <w:spacing w:after="0" w:line="258" w:lineRule="auto"/>
        <w:rPr>
          <w:sz w:val="20"/>
          <w:szCs w:val="20"/>
          <w:color w:val="auto"/>
        </w:rPr>
      </w:pPr>
      <w:r>
        <w:rPr>
          <w:rFonts w:ascii="Times New Roman" w:cs="Times New Roman" w:eastAsia="Times New Roman" w:hAnsi="Times New Roman"/>
          <w:sz w:val="18"/>
          <w:szCs w:val="18"/>
          <w:color w:val="auto"/>
        </w:rPr>
        <w:t>If the carrying value of an indefinite-lived intangible asset exceeds its estimated fair value, an impairment equal to the excess is recorded. There is one indefinite-lived intangible asset at Angi Services with a value of approximately $16.2 million for which the most recent estimate of the excess of fair value over carrying value is less than 20%.</w:t>
      </w:r>
    </w:p>
    <w:p>
      <w:pPr>
        <w:spacing w:after="0" w:line="61" w:lineRule="exact"/>
        <w:rPr>
          <w:sz w:val="20"/>
          <w:szCs w:val="20"/>
          <w:color w:val="auto"/>
        </w:rPr>
      </w:pPr>
    </w:p>
    <w:p>
      <w:pPr>
        <w:ind w:left="340" w:right="560"/>
        <w:spacing w:after="0" w:line="375" w:lineRule="auto"/>
        <w:rPr>
          <w:sz w:val="20"/>
          <w:szCs w:val="20"/>
          <w:color w:val="auto"/>
        </w:rPr>
      </w:pPr>
      <w:r>
        <w:rPr>
          <w:rFonts w:ascii="Times New Roman" w:cs="Times New Roman" w:eastAsia="Times New Roman" w:hAnsi="Times New Roman"/>
          <w:sz w:val="18"/>
          <w:szCs w:val="18"/>
          <w:color w:val="auto"/>
        </w:rPr>
        <w:t xml:space="preserve">The impairment of indefinite-lived intangible assets are included in “Amortization of intangibles” in the accompanying statement of operations. </w:t>
      </w:r>
      <w:r>
        <w:rPr>
          <w:rFonts w:ascii="Times New Roman" w:cs="Times New Roman" w:eastAsia="Times New Roman" w:hAnsi="Times New Roman"/>
          <w:sz w:val="18"/>
          <w:szCs w:val="18"/>
          <w:b w:val="1"/>
          <w:bCs w:val="1"/>
          <w:color w:val="auto"/>
        </w:rPr>
        <w:t>Recoverability of Long-Lived Assets</w:t>
      </w:r>
    </w:p>
    <w:p>
      <w:pPr>
        <w:spacing w:after="0" w:line="1"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We review the carrying value of all long-lived assets, other than goodwill and indefinite-lived intangible assets, for impairment whenever events or changes in circumstances indicate that the carrying value of an asset may not be recoverable. The carrying value of a long-lived asset is not recoverable if it exceeds the sum of the undiscounted cash flows expected to result from the use and eventual disposition of the asset. If the carrying value is deemed not to be recoverable, an impairment loss is recorded equal to the amount by which the carrying value of the long-lived asset exceeds its fair value. The carrying value of these long-lived assets is $857.0 million and $1.1 billion at December 31, 2024 and 2023, respectively.</w:t>
      </w:r>
    </w:p>
    <w:p>
      <w:pPr>
        <w:spacing w:after="0" w:line="75"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During the first quarter of 2023, due to the continued decline in the commercial real estate market, Dotdash Meredith recorded impairment charges of $70.0 million related to certain unoccupied leased office space consisting of impairments of $44.7 million and $25.3 million of an ROU asset and related leasehold improvements, furniture and equipment, respectively.</w:t>
      </w:r>
    </w:p>
    <w:p>
      <w:pPr>
        <w:spacing w:after="0" w:line="176"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During the third quarter of 2022, Dotdash Meredith recorded impairment charges of $21.3 million related to the consolidation of certain leased spaces following the Meredith acquisition consisting of impairments of $14.3 million and $7.0 million of an ROU asset and related leasehold improvements, furniture and equipment, respectively. See “</w:t>
      </w:r>
      <w:r>
        <w:rPr>
          <w:rFonts w:ascii="Times New Roman" w:cs="Times New Roman" w:eastAsia="Times New Roman" w:hAnsi="Times New Roman"/>
          <w:sz w:val="18"/>
          <w:szCs w:val="18"/>
          <w:u w:val="single" w:color="auto"/>
          <w:color w:val="0000FF"/>
        </w:rPr>
        <w:t>Note 17—Dotdash Meredith Restructuring Charges, Transaction-Related Expenses and Change-in-Control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Payments</w:t>
      </w:r>
      <w:r>
        <w:rPr>
          <w:rFonts w:ascii="Times New Roman" w:cs="Times New Roman" w:eastAsia="Times New Roman" w:hAnsi="Times New Roman"/>
          <w:sz w:val="18"/>
          <w:szCs w:val="18"/>
          <w:color w:val="000000"/>
        </w:rPr>
        <w:t>” in the accompanying notes to the financial statements included in “</w:t>
      </w:r>
      <w:r>
        <w:rPr>
          <w:rFonts w:ascii="Times New Roman" w:cs="Times New Roman" w:eastAsia="Times New Roman" w:hAnsi="Times New Roman"/>
          <w:sz w:val="18"/>
          <w:szCs w:val="18"/>
          <w:u w:val="single" w:color="auto"/>
          <w:color w:val="0000FF"/>
        </w:rPr>
        <w:t>Item 8—Financial Statements and Supplementary Data</w:t>
      </w:r>
      <w:r>
        <w:rPr>
          <w:rFonts w:ascii="Times New Roman" w:cs="Times New Roman" w:eastAsia="Times New Roman" w:hAnsi="Times New Roman"/>
          <w:sz w:val="18"/>
          <w:szCs w:val="18"/>
          <w:color w:val="000000"/>
        </w:rPr>
        <w:t>” for additional</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information.</w:t>
      </w:r>
    </w:p>
    <w:p>
      <w:pPr>
        <w:spacing w:after="0" w:line="183"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The impairment charges related to ROU assets are included in “General and administrative expense” and the impairment charges related to leasehold improvements, furniture and equipment are included in “Depreciation” in the statement of operations. The impairment charges represent the amount by which the carrying value of the asset group exceeded its estimated fair value, calculated using a DCF approach using sublease market assumptions of the expected cash flows and discount rate. The impairment charges were allocated between the ROU assets and related leasehold improvements, furniture and equipment of the asset group based on their relative carrying values.</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right="220" w:firstLine="324"/>
        <w:spacing w:after="0" w:line="258" w:lineRule="auto"/>
        <w:rPr>
          <w:sz w:val="20"/>
          <w:szCs w:val="20"/>
          <w:color w:val="auto"/>
        </w:rPr>
      </w:pPr>
      <w:r>
        <w:rPr>
          <w:rFonts w:ascii="Times New Roman" w:cs="Times New Roman" w:eastAsia="Times New Roman" w:hAnsi="Times New Roman"/>
          <w:sz w:val="18"/>
          <w:szCs w:val="18"/>
          <w:color w:val="auto"/>
        </w:rPr>
        <w:t>The Company accounts for income taxes under the liability method, and deferred tax assets and liabilities are recognized for the future tax consequences attributable to differences between the financial statement carrying values of existing assets and liabilities and their respective tax bases. Deferred tax assets and liabilities are measured using enacted tax rates in effect for the year in which those temporary differences are expected to be recovered or settled. A valuation allowance is provided if it is determined that it is more likely than not that the deferred tax asset will not be realized. At December 31, 2024 and 2023, the balance of the Company's net deferred tax assets (liabilities) is $16.1 million and $(162.9) million, respectively.</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81" w:name="page82"/>
    <w:bookmarkEnd w:id="81"/>
    <w:p>
      <w:pPr>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The Company evaluates and accounts for uncertain tax positions using a two-step approach. Recognition (step one) occurs when the Company concludes that a tax position, based solely on its technical merits, is more likely than not to be sustainable upon examination. Measurement (step two) determines the amount of benefit that is greater than 50% likely to be realized upon ultimate settlement </w:t>
      </w:r>
      <w:r>
        <w:rPr>
          <w:rFonts w:ascii="Times New Roman" w:cs="Times New Roman" w:eastAsia="Times New Roman" w:hAnsi="Times New Roman"/>
          <w:sz w:val="18"/>
          <w:szCs w:val="18"/>
          <w:color w:val="252525"/>
        </w:rPr>
        <w:t>with a taxing authority that has full knowledge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52525"/>
        </w:rPr>
        <w:t xml:space="preserve">all relevant information. De-recognition of a tax position that was previously recognized would occur when the Company subsequently determines that a tax position no longer meets the more-likely-than-not threshold of being sustained. </w:t>
      </w:r>
      <w:r>
        <w:rPr>
          <w:rFonts w:ascii="Times New Roman" w:cs="Times New Roman" w:eastAsia="Times New Roman" w:hAnsi="Times New Roman"/>
          <w:sz w:val="18"/>
          <w:szCs w:val="18"/>
          <w:color w:val="000000"/>
        </w:rPr>
        <w:t>This measurement step is inherently difficult and requires subjective</w:t>
      </w: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color w:val="000000"/>
        </w:rPr>
        <w:t>estimations of such amounts to determine the probability of various possible outcomes. At December 31, 2024 and 2023, the Company has unrecognized tax benefits, including interest and penalties, of $23.8 million and $19.6 million, respectively. We consider many factors when evaluating and estimating our tax positions and unrecognized tax benefits, which may require periodic adjustment and which may not accurately anticipate actual outcomes. Although management currently believes changes to unrecognized tax benefits from period to period and differences between amounts paid, if any, upon resolution of issues raised in audits and amounts previously provided will not have a material impact on the liquidity, results of operations, or financial condition of the Company, these matters are subject to inherent uncertainties and management’s view of these matters may change in the future.</w:t>
      </w:r>
    </w:p>
    <w:p>
      <w:pPr>
        <w:spacing w:after="0" w:line="84"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The ultimate amount of deferred income tax assets realized and the amounts paid for deferred income tax liabilities and unrecognized tax benefits may vary from our estimates due to future changes in income tax law, state income tax apportionment or the outcome of any review of our tax returns by the various tax authorities, as well as actual operating results of the Company that vary significantly from anticipated results.</w:t>
      </w:r>
    </w:p>
    <w:p>
      <w:pPr>
        <w:spacing w:after="0" w:line="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08" w:lineRule="exact"/>
        <w:rPr>
          <w:sz w:val="20"/>
          <w:szCs w:val="20"/>
          <w:color w:val="auto"/>
        </w:rPr>
      </w:pPr>
    </w:p>
    <w:p>
      <w:pPr>
        <w:ind w:right="60" w:firstLine="324"/>
        <w:spacing w:after="0" w:line="237" w:lineRule="auto"/>
        <w:rPr>
          <w:sz w:val="20"/>
          <w:szCs w:val="20"/>
          <w:color w:val="auto"/>
        </w:rPr>
      </w:pPr>
      <w:r>
        <w:rPr>
          <w:rFonts w:ascii="Times New Roman" w:cs="Times New Roman" w:eastAsia="Times New Roman" w:hAnsi="Times New Roman"/>
          <w:sz w:val="18"/>
          <w:szCs w:val="18"/>
          <w:color w:val="auto"/>
        </w:rPr>
        <w:t>Stock-based compensation at the Company is inherently complex. Our desire is to attract, retain, incentivize and reward our management team and employees at each of our subsidiaries, including those employed by companies we acquire, by allowing them to benefit directly from the value they help to create. We accomplish these objectives, in part, by issuing equity awards denominated in the equity of our non-publicly traded subsidiaries as well as in IAC and Angi. We further refine this approach by tailoring certain equity awards to the applicable circumstances. For example, we have in the past issued certain equity awards for which vesting is linked to the achievement of a performance target such as revenue or profits; these awards are referred to as performance-based awards. In other cases, we link the vesting of equity awards to the achievement of a value target for a subsidiary or IAC or Angi's stock price, as applicable; these awards are referred to as market-based awards. The nature and variety of these types of equity-based awards creates complexity in our determination of stock-based compensation expense.</w:t>
      </w:r>
    </w:p>
    <w:p>
      <w:pPr>
        <w:spacing w:after="0" w:line="93"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In addition, acquisitions are an important part of the Company's growth strategy. These transactions may result in the modification of equity awards, which may create additional complexity and additional stock-based compensation expense. In addition, our spin-offs and internal reorganizations can also lead to modifications of equity awards and may result in additional complexity and stock-based compensation expense.</w:t>
      </w:r>
    </w:p>
    <w:p>
      <w:pPr>
        <w:spacing w:after="0" w:line="68" w:lineRule="exact"/>
        <w:rPr>
          <w:sz w:val="20"/>
          <w:szCs w:val="20"/>
          <w:color w:val="auto"/>
        </w:rPr>
      </w:pPr>
    </w:p>
    <w:p>
      <w:pPr>
        <w:jc w:val="both"/>
        <w:ind w:right="200" w:firstLine="324"/>
        <w:spacing w:after="0" w:line="261" w:lineRule="auto"/>
        <w:rPr>
          <w:sz w:val="20"/>
          <w:szCs w:val="20"/>
          <w:color w:val="auto"/>
        </w:rPr>
      </w:pPr>
      <w:r>
        <w:rPr>
          <w:rFonts w:ascii="Times New Roman" w:cs="Times New Roman" w:eastAsia="Times New Roman" w:hAnsi="Times New Roman"/>
          <w:sz w:val="18"/>
          <w:szCs w:val="18"/>
          <w:color w:val="auto"/>
        </w:rPr>
        <w:t>Finally, the means by which we settle our equity-based awards also introduces complexity into our financial reporting. We provide a path to liquidity by settling the non-public subsidiary denominated awards in IAC or Angi shares, as applicable. In addition, certain former Angi subsidiary denominated awards and Angi stock appreciation rights can be settled in IAC or Angi awards at the Company’s election. These features increase the complexity of our earnings per share calculations.</w:t>
      </w:r>
    </w:p>
    <w:p>
      <w:pPr>
        <w:spacing w:after="0" w:line="72"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Stock-based compensation expense reflected in our statement of operations includes expense related to equity awards issued by certain of our subsidiaries and awards granted to the Company's Corporate employees and the employees of Angi. The awards granted to the Company's Corporate employees and the employees of Angi have principally been in the form of restricted stock units (“RSUs”), performance-based RSUs, market-based RSUs and restricted stock. For RSUs, the value of the instrument is measured at the grant date as the fair value of the underlying common stock and expensed as stock-based compensation expense over the vesting term. For performance-based RSUs, the value of the instrument is measured at the grant date as the fair value of the underlying common stock and expensed as stock-based compensation over the vesting term when the performance targets are considered probable of being achieved. For market-based RSUs, a lattice model is used to estimate the value of the awards. For IAC restricted stock, a lattice model was used to estimate the fair value of the award which was based on the satisfaction of IAC's stock price targets. See “</w:t>
      </w:r>
      <w:r>
        <w:rPr>
          <w:rFonts w:ascii="Times New Roman" w:cs="Times New Roman" w:eastAsia="Times New Roman" w:hAnsi="Times New Roman"/>
          <w:sz w:val="18"/>
          <w:szCs w:val="18"/>
          <w:u w:val="single" w:color="auto"/>
          <w:color w:val="0000FF"/>
        </w:rPr>
        <w:t>Note 10—Stock-Based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Compensation</w:t>
      </w:r>
      <w:r>
        <w:rPr>
          <w:rFonts w:ascii="Times New Roman" w:cs="Times New Roman" w:eastAsia="Times New Roman" w:hAnsi="Times New Roman"/>
          <w:sz w:val="18"/>
          <w:szCs w:val="18"/>
          <w:color w:val="000000"/>
        </w:rPr>
        <w:t>” in the accompanying notes to the financial statements included in “</w:t>
      </w:r>
      <w:r>
        <w:rPr>
          <w:rFonts w:ascii="Times New Roman" w:cs="Times New Roman" w:eastAsia="Times New Roman" w:hAnsi="Times New Roman"/>
          <w:sz w:val="18"/>
          <w:szCs w:val="18"/>
          <w:u w:val="single" w:color="auto"/>
          <w:color w:val="0000FF"/>
        </w:rPr>
        <w:t>Item 8—Financial Statements and Supplementary Data</w:t>
      </w:r>
      <w:r>
        <w:rPr>
          <w:rFonts w:ascii="Times New Roman" w:cs="Times New Roman" w:eastAsia="Times New Roman" w:hAnsi="Times New Roman"/>
          <w:sz w:val="18"/>
          <w:szCs w:val="18"/>
          <w:color w:val="000000"/>
        </w:rPr>
        <w:t>” for a discussion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of the forfeiture of the IAC restricted stock award on January 13, 2025.</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82" w:name="page83"/>
    <w:bookmarkEnd w:id="82"/>
    <w:p>
      <w:pPr>
        <w:ind w:firstLine="324"/>
        <w:spacing w:after="0" w:line="255" w:lineRule="auto"/>
        <w:rPr>
          <w:sz w:val="20"/>
          <w:szCs w:val="20"/>
          <w:color w:val="auto"/>
        </w:rPr>
      </w:pPr>
      <w:r>
        <w:rPr>
          <w:rFonts w:ascii="Times New Roman" w:cs="Times New Roman" w:eastAsia="Times New Roman" w:hAnsi="Times New Roman"/>
          <w:sz w:val="18"/>
          <w:szCs w:val="18"/>
          <w:color w:val="auto"/>
        </w:rPr>
        <w:t>The principal form of equity awards to the employees and management of its non-publicly traded subsidiaries is stock settled stock appreciation rights that are denominated in the equity of the relevant subsidiary of the Company or Angi, in the case of its International business, which are settleable in shares of the Company or Angi as applicable. The value of the stock settled stock appreciation rights is tied to the value of the common stock of these subsidiaries. Accordingly, these interests only have value to the extent the relevant business appreciates in value above the initial value utilized to determine the exercise price and these interests can have substantial value in the event of significant appreciation. The grant date value of these stock settled stock appreciation rights is measured at grant date, using a Black-Scholes option pricing model and, for those with a market condition, a lattice model, at fair value and is expensed over the vesting term.</w:t>
      </w:r>
    </w:p>
    <w:p>
      <w:pPr>
        <w:spacing w:after="0" w:line="81"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Company estimates the fair value of stock options upon issuance or modification using a Black-Scholes option pricing model and, for those with a market condition, a lattice model. No stock options were issued by the Company in the years ended December 31, 2024, 2023 and 2022, respectively.</w:t>
      </w:r>
    </w:p>
    <w:p>
      <w:pPr>
        <w:spacing w:after="0" w:line="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Investments in Equity Securities</w:t>
      </w:r>
    </w:p>
    <w:p>
      <w:pPr>
        <w:spacing w:after="0" w:line="121"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 xml:space="preserve">The Company's equity securities, other than those of its consolidated subsidiaries and those accounted for under the equity method, are accounted for at fair value under the measurement alternative in accordance with ASC Subtopic 321, </w:t>
      </w:r>
      <w:r>
        <w:rPr>
          <w:rFonts w:ascii="Times New Roman" w:cs="Times New Roman" w:eastAsia="Times New Roman" w:hAnsi="Times New Roman"/>
          <w:sz w:val="18"/>
          <w:szCs w:val="18"/>
          <w:i w:val="1"/>
          <w:iCs w:val="1"/>
          <w:color w:val="auto"/>
        </w:rPr>
        <w:t>Investments - Equity Securities</w:t>
      </w:r>
      <w:r>
        <w:rPr>
          <w:rFonts w:ascii="Times New Roman" w:cs="Times New Roman" w:eastAsia="Times New Roman" w:hAnsi="Times New Roman"/>
          <w:sz w:val="18"/>
          <w:szCs w:val="18"/>
          <w:color w:val="auto"/>
        </w:rPr>
        <w:t>, with any changes to fair value recognized in “Other income (expense), net” in the statement of operations each reporting period. Under the measurement alternative, equity investments without readily determinable fair values are carried at cost minus impairment, if any, plus or minus changes resulting from observable price changes in orderly transactions for identical or similar securities of the same issuer; fair value is generally determined based on a market approach as of the transaction date. A security will be considered identical or similar if it has identical or similar rights to the equity securities held by the Company. The Company reviews its investments in equity securities without readily determinable fair values for impairment each reporting period when there are qualitative factors or events that indicate possible impairment. Factors the Company considers in making this determination include negative changes in industry and market conditions, financial performance, business prospects, and other relevant events and factors. When indicators of impairment exist, the Company prepares quantitative assessments of the fair value of its investments in equity securities, which require judgment and the use of estimates. When the Company's assessment indicates that the fair value of the investment is below its carrying value, the Company writes down the investment to its fair value and records the corresponding charge in “Other income (expense), net” in the statement of operations.</w:t>
      </w:r>
    </w:p>
    <w:p>
      <w:pPr>
        <w:spacing w:after="0" w:line="190"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The carrying value of the Company’s equity securities without readily determinable fair values is $438.5 million and $404.8 million at December 31, 2024 and 2023, respectively, which is included in “Long-term investments” in the balance sheet.</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has no investments in marketable equity securities, following the change in classification of its investment in MGM to an equity method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in the fourth quarter of 2023, described below. Prior to the fourth quarter of 2023, the Company had two investments in marketable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other than its investment in MGM, including one investment that was fully impaired in the first quarter of 2023 due to the investee declaring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bankruptcy and another investment that was sold in the third quarter of 2023. The Company recorded net unrealized pre-tax losses of $0.3 million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$20.3 million for these investments during the years ended December 31, 2023 and 2022, respectively. The realized and unrealized pre-tax gain and losses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to these investments are included in “Other income (expense), net” in the statement of operations.</w:t>
      </w:r>
    </w:p>
    <w:p>
      <w:pPr>
        <w:spacing w:after="0" w:line="207"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At December 31, 2024, the Company owns 64.7 million common shares of MGM, which represents 22.0% of MGM's common shares outstanding. In the fourth quarter of 2023, MGM's ongoing share repurchase program passively increased the Company's ownership interest in MGM and the Company determined that the equity method of accounting applied and elected to account for its investment in MGM pursuant to the fair value option. Prior to the fourth quarter of 2023, the Company's investment in MGM was accounted for as an equity security with a readily determinable fair value, with changes in fair value recognized through income each period. Since the Company has always marked its investment in MGM to fair value through income each period the election of the fair value option resulted in no change to the accounting for its investment in MGM.</w:t>
      </w:r>
    </w:p>
    <w:p>
      <w:pPr>
        <w:spacing w:after="0" w:line="187"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The fair value of the investment in MGM is remeasured each reporting period based upon MGM's closing stock price on the New York Stock Exchange on the last trading day in the reporting period and any unrealized pre-tax gains or losses are included in the statement of operations. The cumulative unrealized net pre-tax gain through December 31, 2024 is $978.8 million. For the years ended December 31, 2024, 2023 and 2022, the Company recognized unrealized pre-tax (losses) gains of $(649.2) million, $721.7 million and $(723.5) million, respectively from its investment in MGM. A $2.00 increase or decrease in the share price of MGM would result in an unrealized gain or loss, respectively, of $129.4 million. At February 7, 2025, the fair value of the Company's investment in MGM was $2.2 billion.</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83" w:name="page84"/>
    <w:bookmarkEnd w:id="83"/>
    <w:p>
      <w:pPr>
        <w:ind w:left="34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For a discussion of recent accounting pronouncements, see “</w:t>
      </w:r>
      <w:r>
        <w:rPr>
          <w:rFonts w:ascii="Times New Roman" w:cs="Times New Roman" w:eastAsia="Times New Roman" w:hAnsi="Times New Roman"/>
          <w:sz w:val="18"/>
          <w:szCs w:val="18"/>
          <w:u w:val="single" w:color="auto"/>
          <w:color w:val="0000FF"/>
        </w:rPr>
        <w:t>Note 2—Summary of Significant Accounting Policies</w:t>
      </w:r>
      <w:r>
        <w:rPr>
          <w:rFonts w:ascii="Times New Roman" w:cs="Times New Roman" w:eastAsia="Times New Roman" w:hAnsi="Times New Roman"/>
          <w:sz w:val="18"/>
          <w:szCs w:val="18"/>
          <w:color w:val="auto"/>
        </w:rPr>
        <w:t>” in the accompanying notes to the financial statements included in “</w:t>
      </w:r>
      <w:r>
        <w:rPr>
          <w:rFonts w:ascii="Times New Roman" w:cs="Times New Roman" w:eastAsia="Times New Roman" w:hAnsi="Times New Roman"/>
          <w:sz w:val="18"/>
          <w:szCs w:val="18"/>
          <w:u w:val="single" w:color="auto"/>
          <w:color w:val="0000FF"/>
        </w:rPr>
        <w:t>Item 8—Financial Statements and Supplementary Data</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103" w:right="499" w:bottom="1440" w:gutter="0" w:footer="0" w:header="0"/>
        </w:sectPr>
      </w:pPr>
    </w:p>
    <w:bookmarkStart w:id="84" w:name="page85"/>
    <w:bookmarkEnd w:id="84"/>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Price Risk</w:t>
      </w:r>
    </w:p>
    <w:p>
      <w:pPr>
        <w:spacing w:after="0" w:line="121"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At December 31, 2024, the Company owns 64.7 million common shares of MGM. In the fourth quarter of 2023, MGM's ongoing share repurchase program passively increased the Company's ownership interest in MGM and the Company determined that the equity method of accounting applied and elected to account for its investment in MGM pursuant to the fair value option. Prior to the fourth quarter of 2023, the Company's investment in MGM was accounted for as an equity security with a readily determinable fair value, with changes in fair value recognized through income each period. Since the Company has always marked its investment in MGM to fair value through income each period, the election of the fair value option resulted in no change to the accounting for its investment in MGM. For the years ended December 31, 2024, 2023 and 2022, the Company recorded unrealized pre-tax (losses) gains from its investment in MGM in its statement of operations of $(649.2) million, $721.7 million and $(723.5) million, respectively.</w:t>
      </w:r>
    </w:p>
    <w:p>
      <w:pPr>
        <w:spacing w:after="0" w:line="81"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cumulative unrealized net pre-tax gain at December 31, 2024 is $978.8 million. At December 31, 2024 and 2023, the carrying value of the Company's investment in MGM, which includes the cumulative unrealized pre-tax gains, was $2.2 billion and $2.9 billion, or approximately 23% and 28% of the Company’s consolidated total assets, respectively. A $2.00 increase or decrease in the share price of MGM would result in an unrealized gain or loss, respectively, of $129.4 million. At February 7, 2025, the fair value of the Company's investment in MGM was $2.2 billion. The Company’s results of operations and financial condition have in the past been and may in the future be materially impacted by increases or decreases in the price of MGM common shares, which are traded on the New York Stock Exchange.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ind w:right="160" w:firstLine="243"/>
        <w:spacing w:after="0" w:line="282" w:lineRule="auto"/>
        <w:rPr>
          <w:sz w:val="20"/>
          <w:szCs w:val="20"/>
          <w:color w:val="auto"/>
        </w:rPr>
      </w:pPr>
      <w:r>
        <w:rPr>
          <w:rFonts w:ascii="Times New Roman" w:cs="Times New Roman" w:eastAsia="Times New Roman" w:hAnsi="Times New Roman"/>
          <w:sz w:val="18"/>
          <w:szCs w:val="18"/>
          <w:color w:val="auto"/>
        </w:rPr>
        <w:t>At December 31, 2024, the principal amount of the Company's outstanding debt totals $1.98 billion, of which $1.48 billion at Dotdash Meredith bears interest at a variable rate, and $500.0 million is the ANGI Group Senior Notes, which bear interest at a fixed rate.</w:t>
      </w:r>
    </w:p>
    <w:p>
      <w:pPr>
        <w:spacing w:after="0" w:line="54" w:lineRule="exact"/>
        <w:rPr>
          <w:sz w:val="20"/>
          <w:szCs w:val="20"/>
          <w:color w:val="auto"/>
        </w:rPr>
      </w:pPr>
    </w:p>
    <w:p>
      <w:pPr>
        <w:ind w:right="100" w:firstLine="243"/>
        <w:spacing w:after="0" w:line="253" w:lineRule="auto"/>
        <w:rPr>
          <w:sz w:val="20"/>
          <w:szCs w:val="20"/>
          <w:color w:val="auto"/>
        </w:rPr>
      </w:pPr>
      <w:r>
        <w:rPr>
          <w:rFonts w:ascii="Times New Roman" w:cs="Times New Roman" w:eastAsia="Times New Roman" w:hAnsi="Times New Roman"/>
          <w:sz w:val="18"/>
          <w:szCs w:val="18"/>
          <w:color w:val="auto"/>
        </w:rPr>
        <w:t>Dotdash Meredith entered into interest rate swaps for a total notional amount of $350 million in March 2023 on Dotdash Meredith Term Loan B due December 1, 2028 or, following the effectiveness of Amendment No. 1 to the Dotdash Meredith Credit Agreement on November 26, 2024 (the “Amended Dotdash Meredith Credit Agreement”), Dotdash Meredith Term Loan B-1. The interest rate swaps synthetically converted a portion of this loan from a variable rate to a fixed rate to manage interest rate exposure for the period commencing April 3, 2023 and ending April 1, 2027, and Dotdash Meredith applies hedge accounting to these contracts. See “</w:t>
      </w:r>
      <w:r>
        <w:rPr>
          <w:rFonts w:ascii="Times New Roman" w:cs="Times New Roman" w:eastAsia="Times New Roman" w:hAnsi="Times New Roman"/>
          <w:sz w:val="18"/>
          <w:szCs w:val="18"/>
          <w:u w:val="single" w:color="auto"/>
          <w:color w:val="0000FF"/>
        </w:rPr>
        <w:t>Note 2—Summary of Significant Accounting Policies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0000FF"/>
        </w:rPr>
        <w:t>Note 6—Long-term Debt</w:t>
      </w:r>
      <w:r>
        <w:rPr>
          <w:rFonts w:ascii="Times New Roman" w:cs="Times New Roman" w:eastAsia="Times New Roman" w:hAnsi="Times New Roman"/>
          <w:sz w:val="18"/>
          <w:szCs w:val="18"/>
          <w:color w:val="auto"/>
        </w:rPr>
        <w:t>” to the financial statements included in “</w:t>
      </w:r>
      <w:r>
        <w:rPr>
          <w:rFonts w:ascii="Times New Roman" w:cs="Times New Roman" w:eastAsia="Times New Roman" w:hAnsi="Times New Roman"/>
          <w:sz w:val="18"/>
          <w:szCs w:val="18"/>
          <w:u w:val="single" w:color="auto"/>
          <w:color w:val="0000FF"/>
        </w:rPr>
        <w:t>Item 8—Financial Statements and Supplementary Data</w:t>
      </w:r>
      <w:r>
        <w:rPr>
          <w:rFonts w:ascii="Times New Roman" w:cs="Times New Roman" w:eastAsia="Times New Roman" w:hAnsi="Times New Roman"/>
          <w:sz w:val="18"/>
          <w:szCs w:val="18"/>
          <w:color w:val="auto"/>
        </w:rPr>
        <w:t>” for more information. The fair value of the interest rate swaps is determined using discounted cash flows derived from observable market prices, including swap curves, and represents what Dotdash Meredith would pay or receive to terminate the swap agreements. Dotdash Meredith intends to continue to meet the conditions for hedge accounting, however, if these interest rate swaps were not highly effective in offsetting cash flows attributable to the hedged risk, the changes in the fair value of the interest rate swaps used as hedges could have a significant impact on future results of operations.</w:t>
      </w:r>
    </w:p>
    <w:p>
      <w:pPr>
        <w:spacing w:after="0" w:line="73" w:lineRule="exact"/>
        <w:rPr>
          <w:sz w:val="20"/>
          <w:szCs w:val="20"/>
          <w:color w:val="auto"/>
        </w:rPr>
      </w:pPr>
    </w:p>
    <w:p>
      <w:pPr>
        <w:ind w:firstLine="243"/>
        <w:spacing w:after="0" w:line="237" w:lineRule="auto"/>
        <w:rPr>
          <w:sz w:val="20"/>
          <w:szCs w:val="20"/>
          <w:color w:val="auto"/>
        </w:rPr>
      </w:pPr>
      <w:r>
        <w:rPr>
          <w:rFonts w:ascii="Times New Roman" w:cs="Times New Roman" w:eastAsia="Times New Roman" w:hAnsi="Times New Roman"/>
          <w:sz w:val="18"/>
          <w:szCs w:val="18"/>
          <w:color w:val="auto"/>
        </w:rPr>
        <w:t>Prior to the effectiveness of the Amended Dotdash Meredith Credit Agreement, Dotdash Meredith Term Loan B bore an interest rate of Adjusted Term SOFR plus 4.00%, plus a varying adjustment of 0.10%, 0.15% or 0.25% based upon the duration of the borrowing period. The Amended Dotdash Meredith Credit Agreement reset the interest rate on Dotdash Meredith Term Loan B-1 to Adjusted Term SOFR plus 3.50% and removed the varying adjustment. At December 31, 2024, the outstanding balance of $1.18 billion related to the Dotdash Meredith Term Loan B-1 bore interest at Adjusted Term SOFR, subject to a minimum of 0.50%, plus 3.50%, or 8.05%, and the outstanding balance of $297.5 million related to Dotdash Meredith Term Loan A bore interest at Adjusted Term SOFR plus 2.25%, or 6.94%. If Adjusted Term SOFR were to increase or decrease by 100 basis points, the annual interest expense on the Dotdash Meredith Term Loans, net of the impact related to the $350 million in notional amount of interest rate swaps, would increase or decrease by $11.3 million.</w:t>
      </w:r>
    </w:p>
    <w:p>
      <w:pPr>
        <w:spacing w:after="0" w:line="228" w:lineRule="exact"/>
        <w:rPr>
          <w:sz w:val="20"/>
          <w:szCs w:val="20"/>
          <w:color w:val="auto"/>
        </w:rPr>
      </w:pPr>
    </w:p>
    <w:p>
      <w:pPr>
        <w:ind w:right="20" w:firstLine="243"/>
        <w:spacing w:after="0" w:line="258" w:lineRule="auto"/>
        <w:rPr>
          <w:sz w:val="20"/>
          <w:szCs w:val="20"/>
          <w:color w:val="auto"/>
        </w:rPr>
      </w:pPr>
      <w:r>
        <w:rPr>
          <w:rFonts w:ascii="Times New Roman" w:cs="Times New Roman" w:eastAsia="Times New Roman" w:hAnsi="Times New Roman"/>
          <w:sz w:val="18"/>
          <w:szCs w:val="18"/>
          <w:color w:val="auto"/>
        </w:rPr>
        <w:t>If market rates decline relative to interest rates on the ANGI Group Senior Notes, the Company runs the risk that the related required interest payments will exceed those based on market rates. A 100-basis point increase or decrease in the level of interest rates would, respectively, decrease or increase the fair value of the fixed-rate debt by $16.1 million. Such potential increase or decrease in fair value is based on certain simplifying assumptions, including an immediate increase or decrease in the level of interest rates with no other subsequent changes for the remainder of the period, nor changes in the credit profile.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Risk</w:t>
      </w:r>
    </w:p>
    <w:p>
      <w:pPr>
        <w:spacing w:after="0" w:line="121"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The Company has operations in certain foreign markets, primarily in various jurisdictions within the European Union and the United Kingdom. The Company has exposure to foreign currency exchange risk related to its foreign subsidiaries that transact business in a functional currency other than the U.S. dollar. As a result, as foreign currency exchange rates fluctuate, the translation of the statement of operations of the Company's international businesses into U.S. dollars affects year-over-year comparability of operating results.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3" w:right="359" w:bottom="1440" w:gutter="0" w:footer="0" w:header="0"/>
        </w:sectPr>
      </w:pPr>
    </w:p>
    <w:bookmarkStart w:id="85" w:name="page86"/>
    <w:bookmarkEnd w:id="85"/>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In addition, certain of the Company’s U.S. operations have customers in international markets. International revenue, including revenue of our operations located outside the U.S., which is measured based upon where the customer is located, accounted for 11%, 13% and 10% for the years ended December 31, 2024, 2023 and 2022, respectively.</w:t>
      </w:r>
    </w:p>
    <w:p>
      <w:pPr>
        <w:spacing w:after="0" w:line="68" w:lineRule="exact"/>
        <w:rPr>
          <w:sz w:val="20"/>
          <w:szCs w:val="20"/>
          <w:color w:val="auto"/>
        </w:rPr>
      </w:pPr>
    </w:p>
    <w:p>
      <w:pPr>
        <w:jc w:val="both"/>
        <w:ind w:right="260" w:firstLine="324"/>
        <w:spacing w:after="0" w:line="266" w:lineRule="auto"/>
        <w:rPr>
          <w:sz w:val="20"/>
          <w:szCs w:val="20"/>
          <w:color w:val="auto"/>
        </w:rPr>
      </w:pPr>
      <w:r>
        <w:rPr>
          <w:rFonts w:ascii="Times New Roman" w:cs="Times New Roman" w:eastAsia="Times New Roman" w:hAnsi="Times New Roman"/>
          <w:sz w:val="18"/>
          <w:szCs w:val="18"/>
          <w:color w:val="auto"/>
        </w:rPr>
        <w:t>The Company is also exposed to foreign currency transaction gains and losses to the extent it or its subsidiaries conduct transactions in and/or have assets and/or liabilities that are denominated in a currency other than the entity's functional currency. For the years ended December 31, 2024, 2023 and 2022, the Company recorded foreign exchange (losses) gains of $(2.6) million, $1.5 million and $(8.5) million, respectively.</w:t>
      </w:r>
    </w:p>
    <w:p>
      <w:pPr>
        <w:spacing w:after="0" w:line="68"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Company's exposure to foreign currency exchange gains or losses have not been material to the Company; therefore, the Company has not hedged its foreign currency exposures. Any growth and expansion of our international operations increases our exposure to foreign exchange rate fluctuations. Significant foreign exchange rate fluctuations, in the case of one currency or collectively with other currencies, could have a significant impact on our future results of operations.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7" w:right="379" w:bottom="1440" w:gutter="0" w:footer="0" w:header="0"/>
        </w:sectPr>
      </w:pPr>
    </w:p>
    <w:bookmarkStart w:id="86" w:name="page87"/>
    <w:bookmarkEnd w:id="86"/>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8.</w:t>
        <w:tab/>
        <w:t>Financial Statements and Supplementary Data</w:t>
      </w:r>
    </w:p>
    <w:p>
      <w:pPr>
        <w:spacing w:after="0" w:line="11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IAC Inc.</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43" w:lineRule="exact"/>
        <w:rPr>
          <w:sz w:val="20"/>
          <w:szCs w:val="20"/>
          <w:color w:val="auto"/>
        </w:rPr>
      </w:pPr>
    </w:p>
    <w:p>
      <w:pPr>
        <w:jc w:val="both"/>
        <w:ind w:firstLine="405"/>
        <w:spacing w:after="0" w:line="247"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IAC Inc. and subsidiaries (the Company) as of December 31, 2024 and 2023, the related consolidated statements of operations, comprehensive operations, shareholders’ equity and cash flows for each of the three years in the period ended December 31, 2024, and the related notes and financial statement schedule listed in the Index at Item 15(a)(2)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three years in the period ended December 31, 2024, in conformity with U.S. generally accepted accounting principles.</w:t>
      </w:r>
    </w:p>
    <w:p>
      <w:pPr>
        <w:spacing w:after="0" w:line="207" w:lineRule="exact"/>
        <w:rPr>
          <w:sz w:val="20"/>
          <w:szCs w:val="20"/>
          <w:color w:val="auto"/>
        </w:rPr>
      </w:pPr>
    </w:p>
    <w:p>
      <w:pPr>
        <w:jc w:val="both"/>
        <w:ind w:firstLine="405"/>
        <w:spacing w:after="0" w:line="250"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2024, based on criteria established in Internal Control—Integrated Framework issued by the Committee of Sponsoring Organizations of the Treadway Commission (2013 framework), and our report dated February 28, 2025 expressed an unqualified opinion thereon.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56" w:lineRule="exact"/>
        <w:rPr>
          <w:sz w:val="20"/>
          <w:szCs w:val="20"/>
          <w:color w:val="auto"/>
        </w:rPr>
      </w:pPr>
    </w:p>
    <w:p>
      <w:pPr>
        <w:jc w:val="both"/>
        <w:ind w:firstLine="405"/>
        <w:spacing w:after="0" w:line="247"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w:t>
      </w:r>
    </w:p>
    <w:p>
      <w:pPr>
        <w:spacing w:after="0"/>
        <w:rPr>
          <w:sz w:val="20"/>
          <w:szCs w:val="20"/>
          <w:color w:val="auto"/>
        </w:rPr>
      </w:pPr>
      <w:r>
        <w:rPr>
          <w:rFonts w:ascii="Times New Roman" w:cs="Times New Roman" w:eastAsia="Times New Roman" w:hAnsi="Times New Roman"/>
          <w:sz w:val="18"/>
          <w:szCs w:val="18"/>
          <w:color w:val="auto"/>
        </w:rPr>
        <w:t>PCAOB.</w:t>
      </w:r>
    </w:p>
    <w:p>
      <w:pPr>
        <w:spacing w:after="0" w:line="220" w:lineRule="exact"/>
        <w:rPr>
          <w:sz w:val="20"/>
          <w:szCs w:val="20"/>
          <w:color w:val="auto"/>
        </w:rPr>
      </w:pPr>
    </w:p>
    <w:p>
      <w:pPr>
        <w:jc w:val="both"/>
        <w:ind w:firstLine="405"/>
        <w:spacing w:after="0" w:line="247"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43" w:lineRule="exact"/>
        <w:rPr>
          <w:sz w:val="20"/>
          <w:szCs w:val="20"/>
          <w:color w:val="auto"/>
        </w:rPr>
      </w:pPr>
    </w:p>
    <w:p>
      <w:pPr>
        <w:jc w:val="both"/>
        <w:ind w:firstLine="405"/>
        <w:spacing w:after="0" w:line="250"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ectPr>
          <w:pgSz w:w="11900" w:h="16838" w:orient="portrait"/>
          <w:cols w:equalWidth="0" w:num="1">
            <w:col w:w="11240"/>
          </w:cols>
          <w:pgMar w:left="320" w:top="110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7"/>
          <w:szCs w:val="17"/>
          <w:b w:val="1"/>
          <w:bCs w:val="1"/>
          <w:color w:val="auto"/>
        </w:rPr>
        <w:t>Valuation of Goodwill</w:t>
      </w:r>
    </w:p>
    <w:p>
      <w:pPr>
        <w:sectPr>
          <w:pgSz w:w="11900" w:h="16838" w:orient="portrait"/>
          <w:cols w:equalWidth="0" w:num="1">
            <w:col w:w="11200"/>
          </w:cols>
          <w:pgMar w:left="340" w:top="1143" w:right="359" w:bottom="1440" w:gutter="0" w:footer="0" w:header="0"/>
        </w:sectPr>
      </w:pPr>
    </w:p>
    <w:p>
      <w:pPr>
        <w:spacing w:after="0" w:line="252"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of December 31, 2024, the Company’s goodwill was $2.9 billion. As disclosed in Note 2 to the consolidated financial statements, goodwill is assessed annually for impairment using either a qualitative or quantitative approach as of October 1, or more frequently if an event occurs or circumstances change that would more likely than not reduce the fair value of a reporting unit below its carrying value.</w:t>
      </w:r>
    </w:p>
    <w:p>
      <w:pPr>
        <w:spacing w:after="0" w:line="17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Auditing management’s quantitative impairment tests for goodwill was challenging given the inherent judgements and estimates involved in estimating the fair value of the reporting units. Specifically, the fair value estimates of the Company’s Angi Ads and Leads, Angi Services and Care.com reporting units were sensitive to assumptions such as the discount rate, revenue growth rates and future cash flows, which are affected by factors such as expected future industry or economic conditions.</w:t>
      </w:r>
    </w:p>
    <w:p>
      <w:pPr>
        <w:spacing w:after="0" w:line="200" w:lineRule="exact"/>
        <w:rPr>
          <w:sz w:val="20"/>
          <w:szCs w:val="20"/>
          <w:color w:val="auto"/>
        </w:rPr>
      </w:pPr>
    </w:p>
    <w:p>
      <w:pPr>
        <w:sectPr>
          <w:pgSz w:w="11900" w:h="16838" w:orient="portrait"/>
          <w:cols w:equalWidth="0" w:num="2">
            <w:col w:w="1300" w:space="440"/>
            <w:col w:w="9460"/>
          </w:cols>
          <w:pgMar w:left="340" w:top="1143" w:right="359" w:bottom="1440" w:gutter="0" w:footer="0" w:header="0"/>
          <w:type w:val="continuous"/>
        </w:sectPr>
      </w:pP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How We Addressed the</w:t>
            </w:r>
          </w:p>
        </w:tc>
        <w:tc>
          <w:tcPr>
            <w:tcW w:w="9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the Company’s controls over its</w:t>
            </w:r>
          </w:p>
        </w:tc>
      </w:tr>
      <w:tr>
        <w:trPr>
          <w:trHeight w:val="238"/>
        </w:trPr>
        <w:tc>
          <w:tcPr>
            <w:tcW w:w="17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Matter in Our Audit</w:t>
            </w:r>
          </w:p>
        </w:tc>
        <w:tc>
          <w:tcPr>
            <w:tcW w:w="9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 impairment review process. For example, we tested the controls over the Company’s review of the significant</w:t>
            </w:r>
          </w:p>
        </w:tc>
      </w:tr>
      <w:tr>
        <w:trPr>
          <w:trHeight w:val="234"/>
        </w:trPr>
        <w:tc>
          <w:tcPr>
            <w:tcW w:w="1700" w:type="dxa"/>
            <w:vAlign w:val="bottom"/>
          </w:tcPr>
          <w:p>
            <w:pPr>
              <w:spacing w:after="0"/>
              <w:rPr>
                <w:sz w:val="20"/>
                <w:szCs w:val="20"/>
                <w:color w:val="auto"/>
              </w:rPr>
            </w:pPr>
          </w:p>
        </w:tc>
        <w:tc>
          <w:tcPr>
            <w:tcW w:w="9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assumptions in estimating the fair value of the reporting units.</w:t>
            </w:r>
          </w:p>
        </w:tc>
      </w:tr>
      <w:tr>
        <w:trPr>
          <w:trHeight w:val="414"/>
        </w:trPr>
        <w:tc>
          <w:tcPr>
            <w:tcW w:w="1700" w:type="dxa"/>
            <w:vAlign w:val="bottom"/>
          </w:tcPr>
          <w:p>
            <w:pPr>
              <w:spacing w:after="0"/>
              <w:rPr>
                <w:sz w:val="24"/>
                <w:szCs w:val="24"/>
                <w:color w:val="auto"/>
              </w:rPr>
            </w:pPr>
          </w:p>
        </w:tc>
        <w:tc>
          <w:tcPr>
            <w:tcW w:w="9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 test the estimated fair values of the Angi Ads and Leads, Angi Services, and Care.com reporting units, our audit procedures</w:t>
            </w:r>
          </w:p>
        </w:tc>
      </w:tr>
      <w:tr>
        <w:trPr>
          <w:trHeight w:val="216"/>
        </w:trPr>
        <w:tc>
          <w:tcPr>
            <w:tcW w:w="1700" w:type="dxa"/>
            <w:vAlign w:val="bottom"/>
          </w:tcPr>
          <w:p>
            <w:pPr>
              <w:spacing w:after="0"/>
              <w:rPr>
                <w:sz w:val="18"/>
                <w:szCs w:val="18"/>
                <w:color w:val="auto"/>
              </w:rPr>
            </w:pPr>
          </w:p>
        </w:tc>
        <w:tc>
          <w:tcPr>
            <w:tcW w:w="9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included, among others, assessing the methodologies used to develop the estimated fair values and testing the significant</w:t>
            </w:r>
          </w:p>
        </w:tc>
      </w:tr>
      <w:tr>
        <w:trPr>
          <w:trHeight w:val="203"/>
        </w:trPr>
        <w:tc>
          <w:tcPr>
            <w:tcW w:w="1700" w:type="dxa"/>
            <w:vAlign w:val="bottom"/>
          </w:tcPr>
          <w:p>
            <w:pPr>
              <w:spacing w:after="0"/>
              <w:rPr>
                <w:sz w:val="17"/>
                <w:szCs w:val="17"/>
                <w:color w:val="auto"/>
              </w:rPr>
            </w:pPr>
          </w:p>
        </w:tc>
        <w:tc>
          <w:tcPr>
            <w:tcW w:w="950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assumptions and underlying data used by the Company. We evaluated the Company’s underlying forecast and budget information</w:t>
            </w:r>
          </w:p>
        </w:tc>
      </w:tr>
      <w:tr>
        <w:trPr>
          <w:trHeight w:val="203"/>
        </w:trPr>
        <w:tc>
          <w:tcPr>
            <w:tcW w:w="1700" w:type="dxa"/>
            <w:vAlign w:val="bottom"/>
          </w:tcPr>
          <w:p>
            <w:pPr>
              <w:spacing w:after="0"/>
              <w:rPr>
                <w:sz w:val="17"/>
                <w:szCs w:val="17"/>
                <w:color w:val="auto"/>
              </w:rPr>
            </w:pPr>
          </w:p>
        </w:tc>
        <w:tc>
          <w:tcPr>
            <w:tcW w:w="950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by comparing the significant assumptions to historical results, forecasted information included in analyst reports and the</w:t>
            </w:r>
          </w:p>
        </w:tc>
      </w:tr>
      <w:tr>
        <w:trPr>
          <w:trHeight w:val="216"/>
        </w:trPr>
        <w:tc>
          <w:tcPr>
            <w:tcW w:w="1700" w:type="dxa"/>
            <w:vAlign w:val="bottom"/>
          </w:tcPr>
          <w:p>
            <w:pPr>
              <w:spacing w:after="0"/>
              <w:rPr>
                <w:sz w:val="18"/>
                <w:szCs w:val="18"/>
                <w:color w:val="auto"/>
              </w:rPr>
            </w:pPr>
          </w:p>
        </w:tc>
        <w:tc>
          <w:tcPr>
            <w:tcW w:w="9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Company's guideline companies in the same industry and current economic trends. We performed sensitivity analyses of</w:t>
            </w:r>
          </w:p>
        </w:tc>
      </w:tr>
      <w:tr>
        <w:trPr>
          <w:trHeight w:val="203"/>
        </w:trPr>
        <w:tc>
          <w:tcPr>
            <w:tcW w:w="1700" w:type="dxa"/>
            <w:vAlign w:val="bottom"/>
          </w:tcPr>
          <w:p>
            <w:pPr>
              <w:spacing w:after="0"/>
              <w:rPr>
                <w:sz w:val="17"/>
                <w:szCs w:val="17"/>
                <w:color w:val="auto"/>
              </w:rPr>
            </w:pPr>
          </w:p>
        </w:tc>
        <w:tc>
          <w:tcPr>
            <w:tcW w:w="950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significant assumptions to evaluate the changes in the estimated fair values of the reporting units that would result from changes in</w:t>
            </w:r>
          </w:p>
        </w:tc>
      </w:tr>
      <w:tr>
        <w:trPr>
          <w:trHeight w:val="203"/>
        </w:trPr>
        <w:tc>
          <w:tcPr>
            <w:tcW w:w="1700" w:type="dxa"/>
            <w:vAlign w:val="bottom"/>
          </w:tcPr>
          <w:p>
            <w:pPr>
              <w:spacing w:after="0"/>
              <w:rPr>
                <w:sz w:val="17"/>
                <w:szCs w:val="17"/>
                <w:color w:val="auto"/>
              </w:rPr>
            </w:pPr>
          </w:p>
        </w:tc>
        <w:tc>
          <w:tcPr>
            <w:tcW w:w="950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the assumptions. In addition, we involved internal valuation specialists to assist in evaluating the methodologies and significant</w:t>
            </w:r>
          </w:p>
        </w:tc>
      </w:tr>
      <w:tr>
        <w:trPr>
          <w:trHeight w:val="234"/>
        </w:trPr>
        <w:tc>
          <w:tcPr>
            <w:tcW w:w="1700" w:type="dxa"/>
            <w:vAlign w:val="bottom"/>
          </w:tcPr>
          <w:p>
            <w:pPr>
              <w:spacing w:after="0"/>
              <w:rPr>
                <w:sz w:val="20"/>
                <w:szCs w:val="20"/>
                <w:color w:val="auto"/>
              </w:rPr>
            </w:pPr>
          </w:p>
        </w:tc>
        <w:tc>
          <w:tcPr>
            <w:tcW w:w="9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assumptions applied in developing the fair value estimates.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143" w:right="359" w:bottom="1440" w:gutter="0" w:footer="0" w:header="0"/>
          <w:type w:val="continuous"/>
        </w:sectPr>
      </w:pPr>
    </w:p>
    <w:bookmarkStart w:id="88" w:name="page89"/>
    <w:bookmarkEnd w:id="88"/>
    <w:p>
      <w:pPr>
        <w:ind w:left="20"/>
        <w:spacing w:after="0"/>
        <w:rPr>
          <w:sz w:val="20"/>
          <w:szCs w:val="20"/>
          <w:color w:val="auto"/>
        </w:rPr>
      </w:pPr>
      <w:r>
        <w:rPr>
          <w:rFonts w:ascii="Times New Roman" w:cs="Times New Roman" w:eastAsia="Times New Roman" w:hAnsi="Times New Roman"/>
          <w:sz w:val="17"/>
          <w:szCs w:val="17"/>
          <w:b w:val="1"/>
          <w:bCs w:val="1"/>
          <w:color w:val="auto"/>
        </w:rPr>
        <w:t>Revenue Processed by Highly Automated Proprietary Systems - Consumer Connection Revenue</w:t>
      </w:r>
    </w:p>
    <w:p>
      <w:pPr>
        <w:sectPr>
          <w:pgSz w:w="11900" w:h="16838" w:orient="portrait"/>
          <w:cols w:equalWidth="0" w:num="1">
            <w:col w:w="11220"/>
          </w:cols>
          <w:pgMar w:left="320" w:top="1143" w:right="359" w:bottom="1440" w:gutter="0" w:footer="0" w:header="0"/>
        </w:sectPr>
      </w:pPr>
    </w:p>
    <w:p>
      <w:pPr>
        <w:spacing w:after="0" w:line="252" w:lineRule="exact"/>
        <w:rPr>
          <w:sz w:val="20"/>
          <w:szCs w:val="20"/>
          <w:color w:val="auto"/>
        </w:rPr>
      </w:pPr>
    </w:p>
    <w:p>
      <w:pPr>
        <w:ind w:left="20"/>
        <w:spacing w:after="0" w:line="238" w:lineRule="auto"/>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As described in Note 2 to the consolidated financial statements, the Company’s revenue includes domestic Ads and Leads revenue. Ads and Leads revenue includes consumer connection revenue, which comprises fees paid by service professionals for consumer matches. Domestic consumer connection revenue was $606.6 million, as disclosed in Note 9, for the year ended December 31, 2024. The Company’s domestic consumer connection revenue is based on contractual terms with the Company’s customers and is comprised of a significant volume of low-dollar transactions. The processing and recording of domestic consumer connection revenue is highly automated within the Company’s information technology (“IT”) systems that are principally proprietary.</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Given the complexity of the IT systems involved, auditing domestic consumer connection revenue required a significant extent of effort and increased involvement of professionals with expertise in IT to identify, test, and evaluate the Company’s relevant systems and automated controls utilized to process and record these transactions.</w:t>
      </w:r>
    </w:p>
    <w:p>
      <w:pPr>
        <w:spacing w:after="0" w:line="2" w:lineRule="exact"/>
        <w:rPr>
          <w:sz w:val="20"/>
          <w:szCs w:val="20"/>
          <w:color w:val="auto"/>
        </w:rPr>
      </w:pPr>
    </w:p>
    <w:p>
      <w:pPr>
        <w:sectPr>
          <w:pgSz w:w="11900" w:h="16838" w:orient="portrait"/>
          <w:cols w:equalWidth="0" w:num="2">
            <w:col w:w="1320" w:space="440"/>
            <w:col w:w="9460"/>
          </w:cols>
          <w:pgMar w:left="320" w:top="1143" w:right="359" w:bottom="1440" w:gutter="0" w:footer="0" w:header="0"/>
          <w:type w:val="continuous"/>
        </w:sectPr>
      </w:pPr>
    </w:p>
    <w:p>
      <w:pPr>
        <w:jc w:val="right"/>
        <w:ind w:left="20"/>
        <w:spacing w:after="0" w:line="209" w:lineRule="auto"/>
        <w:rPr>
          <w:sz w:val="20"/>
          <w:szCs w:val="20"/>
          <w:color w:val="auto"/>
        </w:rPr>
      </w:pPr>
      <w:r>
        <w:rPr>
          <w:rFonts w:ascii="Times New Roman" w:cs="Times New Roman" w:eastAsia="Times New Roman" w:hAnsi="Times New Roman"/>
          <w:sz w:val="18"/>
          <w:szCs w:val="18"/>
          <w:i w:val="1"/>
          <w:iCs w:val="1"/>
          <w:color w:val="auto"/>
        </w:rPr>
        <w:t xml:space="preserve">How We Addressed the </w:t>
      </w:r>
      <w:r>
        <w:rPr>
          <w:rFonts w:ascii="Times New Roman" w:cs="Times New Roman" w:eastAsia="Times New Roman" w:hAnsi="Times New Roman"/>
          <w:sz w:val="18"/>
          <w:szCs w:val="18"/>
          <w:color w:val="auto"/>
        </w:rPr>
        <w:t>We obtained an understanding, evaluated the design, and tested the operating effectiveness of the Company’s controls related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35"/>
          <w:szCs w:val="35"/>
          <w:i w:val="1"/>
          <w:iCs w:val="1"/>
          <w:color w:val="auto"/>
          <w:vertAlign w:val="superscript"/>
        </w:rPr>
        <w:t>Matter in Our Audit</w:t>
      </w:r>
      <w:r>
        <w:rPr>
          <w:rFonts w:ascii="Times New Roman" w:cs="Times New Roman" w:eastAsia="Times New Roman" w:hAnsi="Times New Roman"/>
          <w:sz w:val="18"/>
          <w:szCs w:val="18"/>
          <w:color w:val="auto"/>
        </w:rPr>
        <w:t xml:space="preserve">   recording and accounting for domestic consumer connection revenue. With the involvement of IT professionals, we identified the relevant systems used by the Company to process, calculate, and record revenue. Where applicable, we tested the IT general controls over those systems, including testing of user access controls, change management controls, and IT operations controls as well as certain automated application controls related to the recording of revenue at period end. We also tested the Company’s</w:t>
      </w:r>
    </w:p>
    <w:p>
      <w:pPr>
        <w:spacing w:after="0" w:line="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controls to address the completeness and accuracy of transaction data.</w:t>
      </w:r>
    </w:p>
    <w:p>
      <w:pPr>
        <w:spacing w:after="0" w:line="220" w:lineRule="exact"/>
        <w:rPr>
          <w:sz w:val="20"/>
          <w:szCs w:val="20"/>
          <w:color w:val="auto"/>
        </w:rPr>
      </w:pPr>
    </w:p>
    <w:p>
      <w:pPr>
        <w:jc w:val="both"/>
        <w:ind w:left="1760"/>
        <w:spacing w:after="0" w:line="250" w:lineRule="auto"/>
        <w:rPr>
          <w:sz w:val="20"/>
          <w:szCs w:val="20"/>
          <w:color w:val="auto"/>
        </w:rPr>
      </w:pPr>
      <w:r>
        <w:rPr>
          <w:rFonts w:ascii="Times New Roman" w:cs="Times New Roman" w:eastAsia="Times New Roman" w:hAnsi="Times New Roman"/>
          <w:sz w:val="18"/>
          <w:szCs w:val="18"/>
          <w:color w:val="auto"/>
        </w:rPr>
        <w:t>Our audit procedures related to the Company’s domestic consumer connection revenue also included reconciling revenue recorded to cash received, testing the details for a sample of specific cash receipts to third party banking information and evidence of the related customer arrangement, testing the calculations of revenue performed within the Company’s systems to the amount recorded in the general ledger, and reviewing revenue trends occurring near year-end.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3" w:right="359" w:bottom="144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IAC INC. AND SUBSIDIARIES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BALANCE SHEET</w:t>
      </w:r>
    </w:p>
    <w:p>
      <w:pPr>
        <w:spacing w:after="0" w:line="50"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00" w:type="dxa"/>
            <w:vAlign w:val="bottom"/>
            <w:gridSpan w:val="3"/>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7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78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6"/>
        </w:trPr>
        <w:tc>
          <w:tcPr>
            <w:tcW w:w="7780" w:type="dxa"/>
            <w:vAlign w:val="bottom"/>
          </w:tcPr>
          <w:p>
            <w:pPr>
              <w:spacing w:after="0"/>
              <w:rPr>
                <w:sz w:val="17"/>
                <w:szCs w:val="17"/>
                <w:color w:val="auto"/>
              </w:rPr>
            </w:pPr>
          </w:p>
        </w:tc>
        <w:tc>
          <w:tcPr>
            <w:tcW w:w="3400" w:type="dxa"/>
            <w:vAlign w:val="bottom"/>
            <w:gridSpan w:val="5"/>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(In thousands, except par value amounts)</w:t>
            </w:r>
          </w:p>
        </w:tc>
        <w:tc>
          <w:tcPr>
            <w:tcW w:w="0" w:type="dxa"/>
            <w:vAlign w:val="bottom"/>
          </w:tcPr>
          <w:p>
            <w:pPr>
              <w:spacing w:after="0"/>
              <w:rPr>
                <w:sz w:val="1"/>
                <w:szCs w:val="1"/>
                <w:color w:val="auto"/>
              </w:rPr>
            </w:pPr>
          </w:p>
        </w:tc>
      </w:tr>
      <w:tr>
        <w:trPr>
          <w:trHeight w:val="209"/>
        </w:trPr>
        <w:tc>
          <w:tcPr>
            <w:tcW w:w="7780" w:type="dxa"/>
            <w:vAlign w:val="bottom"/>
            <w:shd w:val="clear" w:color="auto" w:fill="CCEEFF"/>
          </w:tcPr>
          <w:p>
            <w:pPr>
              <w:ind w:left="36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9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780" w:type="dxa"/>
            <w:vAlign w:val="bottom"/>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980" w:type="dxa"/>
            <w:vAlign w:val="bottom"/>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1,798,170</w:t>
            </w:r>
          </w:p>
        </w:tc>
        <w:tc>
          <w:tcPr>
            <w:tcW w:w="100" w:type="dxa"/>
            <w:vAlign w:val="bottom"/>
          </w:tcPr>
          <w:p>
            <w:pPr>
              <w:spacing w:after="0"/>
              <w:rPr>
                <w:sz w:val="16"/>
                <w:szCs w:val="16"/>
                <w:color w:val="auto"/>
              </w:rPr>
            </w:pPr>
          </w:p>
        </w:tc>
        <w:tc>
          <w:tcPr>
            <w:tcW w:w="52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1,297,445</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Marketable securities</w:t>
            </w:r>
          </w:p>
        </w:tc>
        <w:tc>
          <w:tcPr>
            <w:tcW w:w="9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148,998</w:t>
            </w:r>
          </w:p>
        </w:tc>
        <w:tc>
          <w:tcPr>
            <w:tcW w:w="0" w:type="dxa"/>
            <w:vAlign w:val="bottom"/>
          </w:tcPr>
          <w:p>
            <w:pPr>
              <w:spacing w:after="0"/>
              <w:rPr>
                <w:sz w:val="1"/>
                <w:szCs w:val="1"/>
                <w:color w:val="auto"/>
              </w:rPr>
            </w:pPr>
          </w:p>
        </w:tc>
      </w:tr>
      <w:tr>
        <w:trPr>
          <w:trHeight w:val="195"/>
        </w:trPr>
        <w:tc>
          <w:tcPr>
            <w:tcW w:w="7780" w:type="dxa"/>
            <w:vAlign w:val="bottom"/>
          </w:tcPr>
          <w:p>
            <w:pPr>
              <w:spacing w:after="0"/>
              <w:rPr>
                <w:sz w:val="20"/>
                <w:szCs w:val="20"/>
                <w:color w:val="auto"/>
              </w:rPr>
            </w:pPr>
            <w:r>
              <w:rPr>
                <w:rFonts w:ascii="Times New Roman" w:cs="Times New Roman" w:eastAsia="Times New Roman" w:hAnsi="Times New Roman"/>
                <w:sz w:val="14"/>
                <w:szCs w:val="14"/>
                <w:color w:val="auto"/>
              </w:rPr>
              <w:t>Accounts receivable, net</w:t>
            </w:r>
          </w:p>
        </w:tc>
        <w:tc>
          <w:tcPr>
            <w:tcW w:w="98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519,690</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536,650</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current assets</w:t>
            </w:r>
          </w:p>
        </w:tc>
        <w:tc>
          <w:tcPr>
            <w:tcW w:w="9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167,175</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257,499</w:t>
            </w:r>
          </w:p>
        </w:tc>
        <w:tc>
          <w:tcPr>
            <w:tcW w:w="0" w:type="dxa"/>
            <w:vAlign w:val="bottom"/>
          </w:tcPr>
          <w:p>
            <w:pPr>
              <w:spacing w:after="0"/>
              <w:rPr>
                <w:sz w:val="1"/>
                <w:szCs w:val="1"/>
                <w:color w:val="auto"/>
              </w:rPr>
            </w:pPr>
          </w:p>
        </w:tc>
      </w:tr>
      <w:tr>
        <w:trPr>
          <w:trHeight w:val="189"/>
        </w:trPr>
        <w:tc>
          <w:tcPr>
            <w:tcW w:w="77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current assets</w:t>
            </w:r>
          </w:p>
        </w:tc>
        <w:tc>
          <w:tcPr>
            <w:tcW w:w="98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2,485,035</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2,240,592</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7780" w:type="dxa"/>
            <w:vAlign w:val="bottom"/>
          </w:tcPr>
          <w:p>
            <w:pPr>
              <w:spacing w:after="0"/>
              <w:rPr>
                <w:sz w:val="20"/>
                <w:szCs w:val="20"/>
                <w:color w:val="auto"/>
              </w:rPr>
            </w:pPr>
            <w:r>
              <w:rPr>
                <w:rFonts w:ascii="Times New Roman" w:cs="Times New Roman" w:eastAsia="Times New Roman" w:hAnsi="Times New Roman"/>
                <w:sz w:val="14"/>
                <w:szCs w:val="14"/>
                <w:color w:val="auto"/>
              </w:rPr>
              <w:t>Buildings, land, capitalized software, equipment and leasehold improvements, net</w:t>
            </w:r>
          </w:p>
        </w:tc>
        <w:tc>
          <w:tcPr>
            <w:tcW w:w="98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392,761</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455,281</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Goodwill</w:t>
            </w:r>
          </w:p>
        </w:tc>
        <w:tc>
          <w:tcPr>
            <w:tcW w:w="9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2,877,078</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3,024,266</w:t>
            </w:r>
          </w:p>
        </w:tc>
        <w:tc>
          <w:tcPr>
            <w:tcW w:w="0" w:type="dxa"/>
            <w:vAlign w:val="bottom"/>
          </w:tcPr>
          <w:p>
            <w:pPr>
              <w:spacing w:after="0"/>
              <w:rPr>
                <w:sz w:val="1"/>
                <w:szCs w:val="1"/>
                <w:color w:val="auto"/>
              </w:rPr>
            </w:pPr>
          </w:p>
        </w:tc>
      </w:tr>
      <w:tr>
        <w:trPr>
          <w:trHeight w:val="195"/>
        </w:trPr>
        <w:tc>
          <w:tcPr>
            <w:tcW w:w="7780" w:type="dxa"/>
            <w:vAlign w:val="bottom"/>
          </w:tcPr>
          <w:p>
            <w:pPr>
              <w:spacing w:after="0"/>
              <w:rPr>
                <w:sz w:val="20"/>
                <w:szCs w:val="20"/>
                <w:color w:val="auto"/>
              </w:rPr>
            </w:pPr>
            <w:r>
              <w:rPr>
                <w:rFonts w:ascii="Times New Roman" w:cs="Times New Roman" w:eastAsia="Times New Roman" w:hAnsi="Times New Roman"/>
                <w:sz w:val="14"/>
                <w:szCs w:val="14"/>
                <w:color w:val="auto"/>
              </w:rPr>
              <w:t>Intangible assets, net of accumulated amortization</w:t>
            </w:r>
          </w:p>
        </w:tc>
        <w:tc>
          <w:tcPr>
            <w:tcW w:w="98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722,135</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874,705</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Investment in MGM Resorts International</w:t>
            </w:r>
          </w:p>
        </w:tc>
        <w:tc>
          <w:tcPr>
            <w:tcW w:w="9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2,242,672</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2,891,850</w:t>
            </w:r>
          </w:p>
        </w:tc>
        <w:tc>
          <w:tcPr>
            <w:tcW w:w="0" w:type="dxa"/>
            <w:vAlign w:val="bottom"/>
          </w:tcPr>
          <w:p>
            <w:pPr>
              <w:spacing w:after="0"/>
              <w:rPr>
                <w:sz w:val="1"/>
                <w:szCs w:val="1"/>
                <w:color w:val="auto"/>
              </w:rPr>
            </w:pPr>
          </w:p>
        </w:tc>
      </w:tr>
      <w:tr>
        <w:trPr>
          <w:trHeight w:val="195"/>
        </w:trPr>
        <w:tc>
          <w:tcPr>
            <w:tcW w:w="7780" w:type="dxa"/>
            <w:vAlign w:val="bottom"/>
          </w:tcPr>
          <w:p>
            <w:pPr>
              <w:spacing w:after="0"/>
              <w:rPr>
                <w:sz w:val="20"/>
                <w:szCs w:val="20"/>
                <w:color w:val="auto"/>
              </w:rPr>
            </w:pPr>
            <w:r>
              <w:rPr>
                <w:rFonts w:ascii="Times New Roman" w:cs="Times New Roman" w:eastAsia="Times New Roman" w:hAnsi="Times New Roman"/>
                <w:sz w:val="14"/>
                <w:szCs w:val="14"/>
                <w:color w:val="auto"/>
              </w:rPr>
              <w:t>Long-term investments</w:t>
            </w:r>
          </w:p>
        </w:tc>
        <w:tc>
          <w:tcPr>
            <w:tcW w:w="98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438,534</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411,216</w:t>
            </w:r>
          </w:p>
        </w:tc>
        <w:tc>
          <w:tcPr>
            <w:tcW w:w="0" w:type="dxa"/>
            <w:vAlign w:val="bottom"/>
          </w:tcPr>
          <w:p>
            <w:pPr>
              <w:spacing w:after="0"/>
              <w:rPr>
                <w:sz w:val="1"/>
                <w:szCs w:val="1"/>
                <w:color w:val="auto"/>
              </w:rPr>
            </w:pPr>
          </w:p>
        </w:tc>
      </w:tr>
      <w:tr>
        <w:trPr>
          <w:trHeight w:val="203"/>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non-current assets</w:t>
            </w:r>
          </w:p>
        </w:tc>
        <w:tc>
          <w:tcPr>
            <w:tcW w:w="9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388,945</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473,267</w:t>
            </w:r>
          </w:p>
        </w:tc>
        <w:tc>
          <w:tcPr>
            <w:tcW w:w="0" w:type="dxa"/>
            <w:vAlign w:val="bottom"/>
          </w:tcPr>
          <w:p>
            <w:pPr>
              <w:spacing w:after="0"/>
              <w:rPr>
                <w:sz w:val="1"/>
                <w:szCs w:val="1"/>
                <w:color w:val="auto"/>
              </w:rPr>
            </w:pPr>
          </w:p>
        </w:tc>
      </w:tr>
      <w:tr>
        <w:trPr>
          <w:trHeight w:val="203"/>
        </w:trPr>
        <w:tc>
          <w:tcPr>
            <w:tcW w:w="7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980" w:type="dxa"/>
            <w:vAlign w:val="bottom"/>
            <w:tcBorders>
              <w:bottom w:val="single" w:sz="8" w:color="auto"/>
            </w:tcBorders>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9,547,160</w:t>
            </w:r>
          </w:p>
        </w:tc>
        <w:tc>
          <w:tcPr>
            <w:tcW w:w="100" w:type="dxa"/>
            <w:vAlign w:val="bottom"/>
          </w:tcPr>
          <w:p>
            <w:pPr>
              <w:spacing w:after="0"/>
              <w:rPr>
                <w:sz w:val="17"/>
                <w:szCs w:val="17"/>
                <w:color w:val="auto"/>
              </w:rPr>
            </w:pPr>
          </w:p>
        </w:tc>
        <w:tc>
          <w:tcPr>
            <w:tcW w:w="52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10,371,177</w:t>
            </w:r>
          </w:p>
        </w:tc>
        <w:tc>
          <w:tcPr>
            <w:tcW w:w="0" w:type="dxa"/>
            <w:vAlign w:val="bottom"/>
          </w:tcPr>
          <w:p>
            <w:pPr>
              <w:spacing w:after="0"/>
              <w:rPr>
                <w:sz w:val="1"/>
                <w:szCs w:val="1"/>
                <w:color w:val="auto"/>
              </w:rPr>
            </w:pP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7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780" w:type="dxa"/>
            <w:vAlign w:val="bottom"/>
          </w:tcPr>
          <w:p>
            <w:pPr>
              <w:ind w:left="2320"/>
              <w:spacing w:after="0"/>
              <w:rPr>
                <w:sz w:val="20"/>
                <w:szCs w:val="20"/>
                <w:color w:val="auto"/>
              </w:rPr>
            </w:pPr>
            <w:r>
              <w:rPr>
                <w:rFonts w:ascii="Times New Roman" w:cs="Times New Roman" w:eastAsia="Times New Roman" w:hAnsi="Times New Roman"/>
                <w:sz w:val="14"/>
                <w:szCs w:val="14"/>
                <w:b w:val="1"/>
                <w:bCs w:val="1"/>
                <w:color w:val="auto"/>
              </w:rPr>
              <w:t>LIABILITIES AND SHAREHOLDERS' EQUITY</w:t>
            </w:r>
          </w:p>
        </w:tc>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9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780" w:type="dxa"/>
            <w:vAlign w:val="bottom"/>
          </w:tcPr>
          <w:p>
            <w:pPr>
              <w:spacing w:after="0"/>
              <w:rPr>
                <w:sz w:val="20"/>
                <w:szCs w:val="20"/>
                <w:color w:val="auto"/>
              </w:rPr>
            </w:pPr>
            <w:r>
              <w:rPr>
                <w:rFonts w:ascii="Times New Roman" w:cs="Times New Roman" w:eastAsia="Times New Roman" w:hAnsi="Times New Roman"/>
                <w:sz w:val="14"/>
                <w:szCs w:val="14"/>
                <w:color w:val="auto"/>
              </w:rPr>
              <w:t>Current portion of long-term debt</w:t>
            </w:r>
          </w:p>
        </w:tc>
        <w:tc>
          <w:tcPr>
            <w:tcW w:w="980" w:type="dxa"/>
            <w:vAlign w:val="bottom"/>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35,000</w:t>
            </w:r>
          </w:p>
        </w:tc>
        <w:tc>
          <w:tcPr>
            <w:tcW w:w="100" w:type="dxa"/>
            <w:vAlign w:val="bottom"/>
          </w:tcPr>
          <w:p>
            <w:pPr>
              <w:spacing w:after="0"/>
              <w:rPr>
                <w:sz w:val="16"/>
                <w:szCs w:val="16"/>
                <w:color w:val="auto"/>
              </w:rPr>
            </w:pPr>
          </w:p>
        </w:tc>
        <w:tc>
          <w:tcPr>
            <w:tcW w:w="52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Accounts payable, trade</w:t>
            </w:r>
          </w:p>
        </w:tc>
        <w:tc>
          <w:tcPr>
            <w:tcW w:w="9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71,991</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105,514</w:t>
            </w:r>
          </w:p>
        </w:tc>
        <w:tc>
          <w:tcPr>
            <w:tcW w:w="0" w:type="dxa"/>
            <w:vAlign w:val="bottom"/>
          </w:tcPr>
          <w:p>
            <w:pPr>
              <w:spacing w:after="0"/>
              <w:rPr>
                <w:sz w:val="1"/>
                <w:szCs w:val="1"/>
                <w:color w:val="auto"/>
              </w:rPr>
            </w:pPr>
          </w:p>
        </w:tc>
      </w:tr>
      <w:tr>
        <w:trPr>
          <w:trHeight w:val="195"/>
        </w:trPr>
        <w:tc>
          <w:tcPr>
            <w:tcW w:w="7780" w:type="dxa"/>
            <w:vAlign w:val="bottom"/>
          </w:tcPr>
          <w:p>
            <w:pPr>
              <w:spacing w:after="0"/>
              <w:rPr>
                <w:sz w:val="20"/>
                <w:szCs w:val="20"/>
                <w:color w:val="auto"/>
              </w:rPr>
            </w:pPr>
            <w:r>
              <w:rPr>
                <w:rFonts w:ascii="Times New Roman" w:cs="Times New Roman" w:eastAsia="Times New Roman" w:hAnsi="Times New Roman"/>
                <w:sz w:val="14"/>
                <w:szCs w:val="14"/>
                <w:color w:val="auto"/>
              </w:rPr>
              <w:t>Deferred revenue</w:t>
            </w:r>
          </w:p>
        </w:tc>
        <w:tc>
          <w:tcPr>
            <w:tcW w:w="98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98,568</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143,449</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9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680,633</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671,527</w:t>
            </w:r>
          </w:p>
        </w:tc>
        <w:tc>
          <w:tcPr>
            <w:tcW w:w="0" w:type="dxa"/>
            <w:vAlign w:val="bottom"/>
          </w:tcPr>
          <w:p>
            <w:pPr>
              <w:spacing w:after="0"/>
              <w:rPr>
                <w:sz w:val="1"/>
                <w:szCs w:val="1"/>
                <w:color w:val="auto"/>
              </w:rPr>
            </w:pPr>
          </w:p>
        </w:tc>
      </w:tr>
      <w:tr>
        <w:trPr>
          <w:trHeight w:val="189"/>
        </w:trPr>
        <w:tc>
          <w:tcPr>
            <w:tcW w:w="77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98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886,192</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950,490</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780" w:type="dxa"/>
            <w:vAlign w:val="bottom"/>
          </w:tcPr>
          <w:p>
            <w:pPr>
              <w:spacing w:after="0"/>
              <w:rPr>
                <w:sz w:val="20"/>
                <w:szCs w:val="20"/>
                <w:color w:val="auto"/>
              </w:rPr>
            </w:pPr>
            <w:r>
              <w:rPr>
                <w:rFonts w:ascii="Times New Roman" w:cs="Times New Roman" w:eastAsia="Times New Roman" w:hAnsi="Times New Roman"/>
                <w:sz w:val="14"/>
                <w:szCs w:val="14"/>
                <w:color w:val="auto"/>
              </w:rPr>
              <w:t>Long-term debt, net</w:t>
            </w:r>
          </w:p>
        </w:tc>
        <w:tc>
          <w:tcPr>
            <w:tcW w:w="98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1,931,847</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1,993,154</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income taxes</w:t>
            </w:r>
          </w:p>
        </w:tc>
        <w:tc>
          <w:tcPr>
            <w:tcW w:w="9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13,867</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164,612</w:t>
            </w:r>
          </w:p>
        </w:tc>
        <w:tc>
          <w:tcPr>
            <w:tcW w:w="0" w:type="dxa"/>
            <w:vAlign w:val="bottom"/>
          </w:tcPr>
          <w:p>
            <w:pPr>
              <w:spacing w:after="0"/>
              <w:rPr>
                <w:sz w:val="1"/>
                <w:szCs w:val="1"/>
                <w:color w:val="auto"/>
              </w:rPr>
            </w:pPr>
          </w:p>
        </w:tc>
      </w:tr>
      <w:tr>
        <w:trPr>
          <w:trHeight w:val="195"/>
        </w:trPr>
        <w:tc>
          <w:tcPr>
            <w:tcW w:w="7780" w:type="dxa"/>
            <w:vAlign w:val="bottom"/>
          </w:tcPr>
          <w:p>
            <w:pPr>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98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410,866</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474,540</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780" w:type="dxa"/>
            <w:vAlign w:val="bottom"/>
          </w:tcPr>
          <w:p>
            <w:pPr>
              <w:spacing w:after="0"/>
              <w:rPr>
                <w:sz w:val="20"/>
                <w:szCs w:val="20"/>
                <w:color w:val="auto"/>
              </w:rPr>
            </w:pPr>
            <w:r>
              <w:rPr>
                <w:rFonts w:ascii="Times New Roman" w:cs="Times New Roman" w:eastAsia="Times New Roman" w:hAnsi="Times New Roman"/>
                <w:sz w:val="14"/>
                <w:szCs w:val="14"/>
                <w:color w:val="auto"/>
              </w:rPr>
              <w:t>Redeemable noncontrolling interests</w:t>
            </w:r>
          </w:p>
        </w:tc>
        <w:tc>
          <w:tcPr>
            <w:tcW w:w="98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25,415</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33,378</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780" w:type="dxa"/>
            <w:vAlign w:val="bottom"/>
          </w:tcPr>
          <w:p>
            <w:pPr>
              <w:spacing w:after="0"/>
              <w:rPr>
                <w:sz w:val="20"/>
                <w:szCs w:val="20"/>
                <w:color w:val="auto"/>
              </w:rPr>
            </w:pPr>
            <w:r>
              <w:rPr>
                <w:rFonts w:ascii="Times New Roman" w:cs="Times New Roman" w:eastAsia="Times New Roman" w:hAnsi="Times New Roman"/>
                <w:sz w:val="14"/>
                <w:szCs w:val="14"/>
                <w:color w:val="auto"/>
              </w:rPr>
              <w:t>Commitments and contingencies</w:t>
            </w:r>
          </w:p>
        </w:tc>
        <w:tc>
          <w:tcPr>
            <w:tcW w:w="9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SHAREHOLDERS' EQUITY:</w:t>
            </w:r>
          </w:p>
        </w:tc>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1"/>
        </w:trPr>
        <w:tc>
          <w:tcPr>
            <w:tcW w:w="778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Common Stock, $0.0001 par value; authorized 1,600,000 shares; 84,831 and 84,465 shares issued and 80,481 and 80,115 shares</w:t>
            </w:r>
          </w:p>
        </w:tc>
        <w:tc>
          <w:tcPr>
            <w:tcW w:w="9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203"/>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outstanding at December 31, 2024 and 2023, respectively</w:t>
            </w:r>
          </w:p>
        </w:tc>
        <w:tc>
          <w:tcPr>
            <w:tcW w:w="98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778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Class B common stock, $0.0001 par value; authorized 400,000 shares; 5,789 shares issued and outstanding at December 31, 2024 and</w:t>
            </w:r>
          </w:p>
        </w:tc>
        <w:tc>
          <w:tcPr>
            <w:tcW w:w="980" w:type="dxa"/>
            <w:vAlign w:val="bottom"/>
          </w:tcPr>
          <w:p>
            <w:pPr>
              <w:spacing w:after="0"/>
              <w:rPr>
                <w:sz w:val="11"/>
                <w:szCs w:val="11"/>
                <w:color w:val="auto"/>
              </w:rPr>
            </w:pPr>
          </w:p>
        </w:tc>
        <w:tc>
          <w:tcPr>
            <w:tcW w:w="6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5"/>
        </w:trPr>
        <w:tc>
          <w:tcPr>
            <w:tcW w:w="7780" w:type="dxa"/>
            <w:vAlign w:val="bottom"/>
          </w:tcPr>
          <w:p>
            <w:pPr>
              <w:spacing w:after="0"/>
              <w:rPr>
                <w:sz w:val="20"/>
                <w:szCs w:val="20"/>
                <w:color w:val="auto"/>
              </w:rPr>
            </w:pPr>
            <w:r>
              <w:rPr>
                <w:rFonts w:ascii="Times New Roman" w:cs="Times New Roman" w:eastAsia="Times New Roman" w:hAnsi="Times New Roman"/>
                <w:sz w:val="14"/>
                <w:szCs w:val="14"/>
                <w:color w:val="auto"/>
              </w:rPr>
              <w:t>2023</w:t>
            </w:r>
          </w:p>
        </w:tc>
        <w:tc>
          <w:tcPr>
            <w:tcW w:w="9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Additional paid-in capital</w:t>
            </w:r>
          </w:p>
        </w:tc>
        <w:tc>
          <w:tcPr>
            <w:tcW w:w="9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6,380,700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6,340,312</w:t>
            </w:r>
          </w:p>
        </w:tc>
        <w:tc>
          <w:tcPr>
            <w:tcW w:w="0" w:type="dxa"/>
            <w:vAlign w:val="bottom"/>
          </w:tcPr>
          <w:p>
            <w:pPr>
              <w:spacing w:after="0"/>
              <w:rPr>
                <w:sz w:val="1"/>
                <w:szCs w:val="1"/>
                <w:color w:val="auto"/>
              </w:rPr>
            </w:pPr>
          </w:p>
        </w:tc>
      </w:tr>
      <w:tr>
        <w:trPr>
          <w:trHeight w:val="195"/>
        </w:trPr>
        <w:tc>
          <w:tcPr>
            <w:tcW w:w="7780" w:type="dxa"/>
            <w:vAlign w:val="bottom"/>
          </w:tcPr>
          <w:p>
            <w:pPr>
              <w:spacing w:after="0"/>
              <w:rPr>
                <w:sz w:val="20"/>
                <w:szCs w:val="20"/>
                <w:color w:val="auto"/>
              </w:rPr>
            </w:pPr>
            <w:r>
              <w:rPr>
                <w:rFonts w:ascii="Times New Roman" w:cs="Times New Roman" w:eastAsia="Times New Roman" w:hAnsi="Times New Roman"/>
                <w:sz w:val="14"/>
                <w:szCs w:val="14"/>
                <w:color w:val="auto"/>
              </w:rPr>
              <w:t>(Accumulated deficit) retained earnings</w:t>
            </w:r>
          </w:p>
        </w:tc>
        <w:tc>
          <w:tcPr>
            <w:tcW w:w="9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(538,974)</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923</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9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(11,396)</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(10,942)</w:t>
            </w:r>
          </w:p>
        </w:tc>
        <w:tc>
          <w:tcPr>
            <w:tcW w:w="0" w:type="dxa"/>
            <w:vAlign w:val="bottom"/>
          </w:tcPr>
          <w:p>
            <w:pPr>
              <w:spacing w:after="0"/>
              <w:rPr>
                <w:sz w:val="1"/>
                <w:szCs w:val="1"/>
                <w:color w:val="auto"/>
              </w:rPr>
            </w:pPr>
          </w:p>
        </w:tc>
      </w:tr>
      <w:tr>
        <w:trPr>
          <w:trHeight w:val="196"/>
        </w:trPr>
        <w:tc>
          <w:tcPr>
            <w:tcW w:w="7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Treasury stock, 4,350 shares at December 31, 2024 and 2023</w:t>
            </w:r>
          </w:p>
        </w:tc>
        <w:tc>
          <w:tcPr>
            <w:tcW w:w="9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(252,441)</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(252,441)</w:t>
            </w:r>
          </w:p>
        </w:tc>
        <w:tc>
          <w:tcPr>
            <w:tcW w:w="0" w:type="dxa"/>
            <w:vAlign w:val="bottom"/>
          </w:tcPr>
          <w:p>
            <w:pPr>
              <w:spacing w:after="0"/>
              <w:rPr>
                <w:sz w:val="1"/>
                <w:szCs w:val="1"/>
                <w:color w:val="auto"/>
              </w:rPr>
            </w:pPr>
          </w:p>
        </w:tc>
      </w:tr>
      <w:tr>
        <w:trPr>
          <w:trHeight w:val="203"/>
        </w:trPr>
        <w:tc>
          <w:tcPr>
            <w:tcW w:w="7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IAC shareholders' equity</w:t>
            </w:r>
          </w:p>
        </w:tc>
        <w:tc>
          <w:tcPr>
            <w:tcW w:w="9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5,577,898</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6,077,861</w:t>
            </w:r>
          </w:p>
        </w:tc>
        <w:tc>
          <w:tcPr>
            <w:tcW w:w="0" w:type="dxa"/>
            <w:vAlign w:val="bottom"/>
          </w:tcPr>
          <w:p>
            <w:pPr>
              <w:spacing w:after="0"/>
              <w:rPr>
                <w:sz w:val="1"/>
                <w:szCs w:val="1"/>
                <w:color w:val="auto"/>
              </w:rPr>
            </w:pPr>
          </w:p>
        </w:tc>
      </w:tr>
      <w:tr>
        <w:trPr>
          <w:trHeight w:val="196"/>
        </w:trPr>
        <w:tc>
          <w:tcPr>
            <w:tcW w:w="7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Noncontrolling interests</w:t>
            </w:r>
          </w:p>
        </w:tc>
        <w:tc>
          <w:tcPr>
            <w:tcW w:w="9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701,075</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677,142</w:t>
            </w:r>
          </w:p>
        </w:tc>
        <w:tc>
          <w:tcPr>
            <w:tcW w:w="0" w:type="dxa"/>
            <w:vAlign w:val="bottom"/>
          </w:tcPr>
          <w:p>
            <w:pPr>
              <w:spacing w:after="0"/>
              <w:rPr>
                <w:sz w:val="1"/>
                <w:szCs w:val="1"/>
                <w:color w:val="auto"/>
              </w:rPr>
            </w:pPr>
          </w:p>
        </w:tc>
      </w:tr>
      <w:tr>
        <w:trPr>
          <w:trHeight w:val="196"/>
        </w:trPr>
        <w:tc>
          <w:tcPr>
            <w:tcW w:w="7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shareholders' equity</w:t>
            </w:r>
          </w:p>
        </w:tc>
        <w:tc>
          <w:tcPr>
            <w:tcW w:w="9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6,278,973</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6,755,003</w:t>
            </w:r>
          </w:p>
        </w:tc>
        <w:tc>
          <w:tcPr>
            <w:tcW w:w="0" w:type="dxa"/>
            <w:vAlign w:val="bottom"/>
          </w:tcPr>
          <w:p>
            <w:pPr>
              <w:spacing w:after="0"/>
              <w:rPr>
                <w:sz w:val="1"/>
                <w:szCs w:val="1"/>
                <w:color w:val="auto"/>
              </w:rPr>
            </w:pPr>
          </w:p>
        </w:tc>
      </w:tr>
      <w:tr>
        <w:trPr>
          <w:trHeight w:val="203"/>
        </w:trPr>
        <w:tc>
          <w:tcPr>
            <w:tcW w:w="7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LIABILITIES AND SHAREHOLDERS' EQUITY</w:t>
            </w:r>
          </w:p>
        </w:tc>
        <w:tc>
          <w:tcPr>
            <w:tcW w:w="980" w:type="dxa"/>
            <w:vAlign w:val="bottom"/>
            <w:tcBorders>
              <w:bottom w:val="single" w:sz="8" w:color="auto"/>
            </w:tcBorders>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9,547,160</w:t>
            </w:r>
          </w:p>
        </w:tc>
        <w:tc>
          <w:tcPr>
            <w:tcW w:w="100" w:type="dxa"/>
            <w:vAlign w:val="bottom"/>
          </w:tcPr>
          <w:p>
            <w:pPr>
              <w:spacing w:after="0"/>
              <w:rPr>
                <w:sz w:val="17"/>
                <w:szCs w:val="17"/>
                <w:color w:val="auto"/>
              </w:rPr>
            </w:pPr>
          </w:p>
        </w:tc>
        <w:tc>
          <w:tcPr>
            <w:tcW w:w="52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10,371,177</w:t>
            </w:r>
          </w:p>
        </w:tc>
        <w:tc>
          <w:tcPr>
            <w:tcW w:w="0" w:type="dxa"/>
            <w:vAlign w:val="bottom"/>
          </w:tcPr>
          <w:p>
            <w:pPr>
              <w:spacing w:after="0"/>
              <w:rPr>
                <w:sz w:val="1"/>
                <w:szCs w:val="1"/>
                <w:color w:val="auto"/>
              </w:rPr>
            </w:pPr>
          </w:p>
        </w:tc>
      </w:tr>
      <w:tr>
        <w:trPr>
          <w:trHeight w:val="21"/>
        </w:trPr>
        <w:tc>
          <w:tcPr>
            <w:tcW w:w="77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xml:space="preserve">The accompanying </w:t>
      </w:r>
      <w:r>
        <w:rPr>
          <w:rFonts w:ascii="Times New Roman" w:cs="Times New Roman" w:eastAsia="Times New Roman" w:hAnsi="Times New Roman"/>
          <w:sz w:val="14"/>
          <w:szCs w:val="14"/>
          <w:u w:val="single" w:color="auto"/>
          <w:color w:val="0000FF"/>
        </w:rPr>
        <w:t>Notes to Consolidated Financial Statements</w:t>
      </w:r>
      <w:r>
        <w:rPr>
          <w:rFonts w:ascii="Times New Roman" w:cs="Times New Roman" w:eastAsia="Times New Roman" w:hAnsi="Times New Roman"/>
          <w:sz w:val="14"/>
          <w:szCs w:val="14"/>
          <w:color w:val="auto"/>
        </w:rPr>
        <w:t xml:space="preserve"> are an integral part of these statements.</w:t>
      </w: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90" w:name="page91"/>
    <w:bookmarkEnd w:id="9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IAC INC. AND SUBSIDIARIES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 OF OPERATIONS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3"/>
        </w:trPr>
        <w:tc>
          <w:tcPr>
            <w:tcW w:w="6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6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5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6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180" w:type="dxa"/>
            <w:vAlign w:val="bottom"/>
            <w:gridSpan w:val="6"/>
          </w:tcPr>
          <w:p>
            <w:pPr>
              <w:jc w:val="center"/>
              <w:ind w:left="571"/>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1000" w:type="dxa"/>
            <w:vAlign w:val="bottom"/>
          </w:tcPr>
          <w:p>
            <w:pPr>
              <w:spacing w:after="0"/>
              <w:rPr>
                <w:sz w:val="17"/>
                <w:szCs w:val="17"/>
                <w:color w:val="auto"/>
              </w:rPr>
            </w:pPr>
          </w:p>
        </w:tc>
      </w:tr>
      <w:tr>
        <w:trPr>
          <w:trHeight w:val="23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3,807,233</w:t>
            </w:r>
          </w:p>
        </w:tc>
        <w:tc>
          <w:tcPr>
            <w:tcW w:w="4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4,365,235</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5,235,280</w:t>
            </w: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revenue (exclusive of depreciation shown separately below)</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1,059,990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1,343,254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1,933,705</w:t>
            </w:r>
          </w:p>
        </w:tc>
      </w:tr>
      <w:tr>
        <w:trPr>
          <w:trHeight w:val="229"/>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and marketing expense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1,338,732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1,576,229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1,914,878</w:t>
            </w:r>
          </w:p>
        </w:tc>
      </w:tr>
      <w:tr>
        <w:trPr>
          <w:trHeight w:val="229"/>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817,658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891,958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991,983</w:t>
            </w:r>
          </w:p>
        </w:tc>
      </w:tr>
      <w:tr>
        <w:trPr>
          <w:trHeight w:val="230"/>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 development expense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323,687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334,491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318,028</w:t>
            </w:r>
          </w:p>
        </w:tc>
      </w:tr>
      <w:tr>
        <w:trPr>
          <w:trHeight w:val="229"/>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175,096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130,986</w:t>
            </w:r>
          </w:p>
        </w:tc>
      </w:tr>
      <w:tr>
        <w:trPr>
          <w:trHeight w:val="230"/>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295,970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307,718</w:t>
            </w:r>
          </w:p>
        </w:tc>
      </w:tr>
      <w:tr>
        <w:trPr>
          <w:trHeight w:val="230"/>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Goodwill impairment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112,753</w:t>
            </w:r>
          </w:p>
        </w:tc>
      </w:tr>
      <w:tr>
        <w:trPr>
          <w:trHeight w:val="223"/>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3,811,463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4,625,998</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5,710,051</w:t>
            </w:r>
          </w:p>
        </w:tc>
      </w:tr>
      <w:tr>
        <w:trPr>
          <w:trHeight w:val="223"/>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loss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(260,763)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(474,771)</w:t>
            </w: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(157,632)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(110,165)</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(loss) gain on investment in MGM Resorts International</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(649,178)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721,668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(723,515)</w:t>
            </w:r>
          </w:p>
        </w:tc>
      </w:tr>
      <w:tr>
        <w:trPr>
          <w:trHeight w:val="230"/>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116,897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63,862</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(217,785)</w:t>
            </w: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earnings from continuing operations before income taxes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(692,399)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367,135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(1,526,236)</w:t>
            </w:r>
          </w:p>
        </w:tc>
      </w:tr>
      <w:tr>
        <w:trPr>
          <w:trHeight w:val="230"/>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159,069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(108,818)</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331,087</w:t>
            </w: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earnings from continuing operations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(533,330)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258,317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(1,195,149)</w:t>
            </w: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from discontinued operations, net of taxes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2,694</w:t>
            </w:r>
          </w:p>
        </w:tc>
      </w:tr>
      <w:tr>
        <w:trPr>
          <w:trHeight w:val="223"/>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earnings</w:t>
            </w: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(533,330)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258,317</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(1,192,455)</w:t>
            </w:r>
          </w:p>
        </w:tc>
      </w:tr>
      <w:tr>
        <w:trPr>
          <w:trHeight w:val="230"/>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(earnings) loss attributable to noncontrolling interests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22,285</w:t>
            </w: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earnings attributable to IAC shareholders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(539,897)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265,942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(1,170,170)</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Per share information from continuing operations: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 (loss) earnings per share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w:t>
            </w:r>
          </w:p>
        </w:tc>
      </w:tr>
      <w:tr>
        <w:trPr>
          <w:trHeight w:val="230"/>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 (loss) earnings per share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4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w:t>
            </w:r>
          </w:p>
        </w:tc>
      </w:tr>
      <w:tr>
        <w:trPr>
          <w:trHeight w:val="270"/>
        </w:trPr>
        <w:tc>
          <w:tcPr>
            <w:tcW w:w="8140" w:type="dxa"/>
            <w:vAlign w:val="bottom"/>
            <w:gridSpan w:val="3"/>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30"/>
        </w:trPr>
        <w:tc>
          <w:tcPr>
            <w:tcW w:w="8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Per share information attributable to IAC common stock and Class B common stock shareholders:</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 (loss) earnings per share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w:t>
            </w:r>
          </w:p>
        </w:tc>
      </w:tr>
      <w:tr>
        <w:trPr>
          <w:trHeight w:val="229"/>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 (loss) earnings per share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4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w:t>
            </w:r>
          </w:p>
        </w:tc>
      </w:tr>
      <w:tr>
        <w:trPr>
          <w:trHeight w:val="270"/>
        </w:trPr>
        <w:tc>
          <w:tcPr>
            <w:tcW w:w="67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Stock-based compensation expense by function: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revenue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2,219</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9"/>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and marketing expense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8,293</w:t>
            </w:r>
          </w:p>
        </w:tc>
      </w:tr>
      <w:tr>
        <w:trPr>
          <w:trHeight w:val="230"/>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93,506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99,993</w:t>
            </w:r>
          </w:p>
        </w:tc>
      </w:tr>
      <w:tr>
        <w:trPr>
          <w:trHeight w:val="229"/>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 development expense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13,254</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15,143</w:t>
            </w: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112,523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117,181</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123,476</w:t>
            </w:r>
          </w:p>
        </w:tc>
      </w:tr>
      <w:tr>
        <w:trPr>
          <w:trHeight w:val="20"/>
        </w:trPr>
        <w:tc>
          <w:tcPr>
            <w:tcW w:w="6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The accompanying </w:t>
      </w:r>
      <w:r>
        <w:rPr>
          <w:rFonts w:ascii="Times New Roman" w:cs="Times New Roman" w:eastAsia="Times New Roman" w:hAnsi="Times New Roman"/>
          <w:sz w:val="18"/>
          <w:szCs w:val="18"/>
          <w:u w:val="single" w:color="auto"/>
          <w:color w:val="0000FF"/>
        </w:rPr>
        <w:t>Notes to Consolidated Financial Statements</w:t>
      </w:r>
      <w:r>
        <w:rPr>
          <w:rFonts w:ascii="Times New Roman" w:cs="Times New Roman" w:eastAsia="Times New Roman" w:hAnsi="Times New Roman"/>
          <w:sz w:val="18"/>
          <w:szCs w:val="18"/>
          <w:color w:val="auto"/>
        </w:rPr>
        <w:t xml:space="preserve"> are an integral part of these statements.</w:t>
      </w: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IAC INC. AND SUBSIDIARIES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 OF COMPREHENSIVE OPERATIONS</w:t>
      </w:r>
    </w:p>
    <w:p>
      <w:pPr>
        <w:spacing w:after="0" w:line="200" w:lineRule="exact"/>
        <w:rPr>
          <w:sz w:val="20"/>
          <w:szCs w:val="20"/>
          <w:color w:val="auto"/>
        </w:rPr>
      </w:pPr>
    </w:p>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
        </w:trPr>
        <w:tc>
          <w:tcPr>
            <w:tcW w:w="6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6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6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earnings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(533,330)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258,317</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(1,192,455)</w:t>
            </w: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net of income taxes: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foreign currency translation adjustment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(18,829)</w:t>
            </w:r>
          </w:p>
        </w:tc>
      </w:tr>
      <w:tr>
        <w:trPr>
          <w:trHeight w:val="230"/>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net unrealized gains and losses on interest rate swaps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unrealized gains and losses on available-for-sale marketable debt securities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23"/>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comprehensive (loss) income, net of income taxes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(18,776)</w:t>
            </w: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 income, net of income taxes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(534,207)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261,016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(1,211,231)</w:t>
            </w: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Components of comprehensive (income) loss attributable to noncontrolling interests: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(earnings) loss attributable to noncontrolling interests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22,285</w:t>
            </w:r>
          </w:p>
        </w:tc>
      </w:tr>
      <w:tr>
        <w:trPr>
          <w:trHeight w:val="230"/>
        </w:trPr>
        <w:tc>
          <w:tcPr>
            <w:tcW w:w="67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Change in foreign currency translation adjustment attributable to noncontrolling interests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1,235</w:t>
            </w: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 attributable to noncontrolling interests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23,520</w:t>
            </w: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 income attributable to IAC shareholders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(540,362)</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268,128</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(1,187,711)</w:t>
            </w:r>
          </w:p>
        </w:tc>
      </w:tr>
      <w:tr>
        <w:trPr>
          <w:trHeight w:val="20"/>
        </w:trPr>
        <w:tc>
          <w:tcPr>
            <w:tcW w:w="6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The accompanying </w:t>
      </w:r>
      <w:r>
        <w:rPr>
          <w:rFonts w:ascii="Times New Roman" w:cs="Times New Roman" w:eastAsia="Times New Roman" w:hAnsi="Times New Roman"/>
          <w:sz w:val="18"/>
          <w:szCs w:val="18"/>
          <w:u w:val="single" w:color="auto"/>
          <w:color w:val="0000FF"/>
        </w:rPr>
        <w:t>Notes to Consolidated Financial Statements</w:t>
      </w:r>
      <w:r>
        <w:rPr>
          <w:rFonts w:ascii="Times New Roman" w:cs="Times New Roman" w:eastAsia="Times New Roman" w:hAnsi="Times New Roman"/>
          <w:sz w:val="18"/>
          <w:szCs w:val="18"/>
          <w:color w:val="auto"/>
        </w:rPr>
        <w:t xml:space="preserve">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IAC INC. AND SUBSIDIARIES</w:t>
      </w:r>
    </w:p>
    <w:p>
      <w:pPr>
        <w:spacing w:after="0" w:line="117"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CONSOLIDATED STATEMENT OF SHAREHOLDERS' EQUITY</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5"/>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w w:val="98"/>
              </w:rPr>
              <w:t>Class B Common</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Retained</w:t>
            </w:r>
          </w:p>
        </w:tc>
        <w:tc>
          <w:tcPr>
            <w:tcW w:w="100" w:type="dxa"/>
            <w:vAlign w:val="bottom"/>
          </w:tcPr>
          <w:p>
            <w:pPr>
              <w:spacing w:after="0"/>
              <w:rPr>
                <w:sz w:val="11"/>
                <w:szCs w:val="11"/>
                <w:color w:val="auto"/>
              </w:rPr>
            </w:pPr>
          </w:p>
        </w:tc>
        <w:tc>
          <w:tcPr>
            <w:tcW w:w="8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gridSpan w:val="4"/>
            <w:vMerge w:val="restart"/>
          </w:tcPr>
          <w:p>
            <w:pPr>
              <w:ind w:left="40"/>
              <w:spacing w:after="0" w:line="108" w:lineRule="exact"/>
              <w:rPr>
                <w:sz w:val="20"/>
                <w:szCs w:val="20"/>
                <w:color w:val="auto"/>
              </w:rPr>
            </w:pPr>
            <w:r>
              <w:rPr>
                <w:rFonts w:ascii="Times New Roman" w:cs="Times New Roman" w:eastAsia="Times New Roman" w:hAnsi="Times New Roman"/>
                <w:sz w:val="11"/>
                <w:szCs w:val="11"/>
                <w:b w:val="1"/>
                <w:bCs w:val="1"/>
                <w:color w:val="auto"/>
              </w:rPr>
              <w:t>Common Stock,</w:t>
            </w:r>
          </w:p>
        </w:tc>
        <w:tc>
          <w:tcPr>
            <w:tcW w:w="120" w:type="dxa"/>
            <w:vAlign w:val="bottom"/>
          </w:tcPr>
          <w:p>
            <w:pPr>
              <w:spacing w:after="0"/>
              <w:rPr>
                <w:sz w:val="5"/>
                <w:szCs w:val="5"/>
                <w:color w:val="auto"/>
              </w:rPr>
            </w:pPr>
          </w:p>
        </w:tc>
        <w:tc>
          <w:tcPr>
            <w:tcW w:w="1020" w:type="dxa"/>
            <w:vAlign w:val="bottom"/>
            <w:gridSpan w:val="5"/>
            <w:vMerge w:val="restart"/>
          </w:tcPr>
          <w:p>
            <w:pPr>
              <w:jc w:val="right"/>
              <w:ind w:right="200"/>
              <w:spacing w:after="0" w:line="108" w:lineRule="exact"/>
              <w:rPr>
                <w:sz w:val="20"/>
                <w:szCs w:val="20"/>
                <w:color w:val="auto"/>
              </w:rPr>
            </w:pPr>
            <w:r>
              <w:rPr>
                <w:rFonts w:ascii="Times New Roman" w:cs="Times New Roman" w:eastAsia="Times New Roman" w:hAnsi="Times New Roman"/>
                <w:sz w:val="11"/>
                <w:szCs w:val="11"/>
                <w:b w:val="1"/>
                <w:bCs w:val="1"/>
                <w:color w:val="auto"/>
                <w:w w:val="98"/>
              </w:rPr>
              <w:t>Stock, $.0001 par</w:t>
            </w: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Borders>
              <w:right w:val="single" w:sz="8" w:color="auto"/>
            </w:tcBorders>
            <w:gridSpan w:val="2"/>
            <w:vMerge w:val="restart"/>
          </w:tcPr>
          <w:p>
            <w:pPr>
              <w:jc w:val="center"/>
              <w:ind w:right="200"/>
              <w:spacing w:after="0" w:line="108" w:lineRule="exact"/>
              <w:rPr>
                <w:sz w:val="20"/>
                <w:szCs w:val="20"/>
                <w:color w:val="auto"/>
              </w:rPr>
            </w:pPr>
            <w:r>
              <w:rPr>
                <w:rFonts w:ascii="Times New Roman" w:cs="Times New Roman" w:eastAsia="Times New Roman" w:hAnsi="Times New Roman"/>
                <w:sz w:val="11"/>
                <w:szCs w:val="11"/>
                <w:b w:val="1"/>
                <w:bCs w:val="1"/>
                <w:color w:val="auto"/>
                <w:w w:val="97"/>
              </w:rPr>
              <w:t>Redeemable</w:t>
            </w: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gridSpan w:val="5"/>
            <w:vMerge w:val="continue"/>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gridSpan w:val="2"/>
            <w:vMerge w:val="restart"/>
          </w:tcPr>
          <w:p>
            <w:pPr>
              <w:jc w:val="center"/>
              <w:ind w:right="220"/>
              <w:spacing w:after="0" w:line="108" w:lineRule="exact"/>
              <w:rPr>
                <w:sz w:val="20"/>
                <w:szCs w:val="20"/>
                <w:color w:val="auto"/>
              </w:rPr>
            </w:pPr>
            <w:r>
              <w:rPr>
                <w:rFonts w:ascii="Times New Roman" w:cs="Times New Roman" w:eastAsia="Times New Roman" w:hAnsi="Times New Roman"/>
                <w:sz w:val="11"/>
                <w:szCs w:val="11"/>
                <w:b w:val="1"/>
                <w:bCs w:val="1"/>
                <w:color w:val="auto"/>
                <w:w w:val="98"/>
              </w:rPr>
              <w:t>Earnings</w:t>
            </w:r>
          </w:p>
        </w:tc>
        <w:tc>
          <w:tcPr>
            <w:tcW w:w="100" w:type="dxa"/>
            <w:vAlign w:val="bottom"/>
          </w:tcPr>
          <w:p>
            <w:pPr>
              <w:spacing w:after="0"/>
              <w:rPr>
                <w:sz w:val="3"/>
                <w:szCs w:val="3"/>
                <w:color w:val="auto"/>
              </w:rPr>
            </w:pPr>
          </w:p>
        </w:tc>
        <w:tc>
          <w:tcPr>
            <w:tcW w:w="800" w:type="dxa"/>
            <w:vAlign w:val="bottom"/>
            <w:gridSpan w:val="2"/>
            <w:vMerge w:val="restart"/>
          </w:tcPr>
          <w:p>
            <w:pPr>
              <w:jc w:val="center"/>
              <w:ind w:right="160"/>
              <w:spacing w:after="0" w:line="108"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gridSpan w:val="2"/>
            <w:vMerge w:val="restart"/>
          </w:tcPr>
          <w:p>
            <w:pPr>
              <w:jc w:val="center"/>
              <w:ind w:right="80"/>
              <w:spacing w:after="0" w:line="108" w:lineRule="exact"/>
              <w:rPr>
                <w:sz w:val="20"/>
                <w:szCs w:val="20"/>
                <w:color w:val="auto"/>
              </w:rPr>
            </w:pPr>
            <w:r>
              <w:rPr>
                <w:rFonts w:ascii="Times New Roman" w:cs="Times New Roman" w:eastAsia="Times New Roman" w:hAnsi="Times New Roman"/>
                <w:sz w:val="11"/>
                <w:szCs w:val="11"/>
                <w:b w:val="1"/>
                <w:bCs w:val="1"/>
                <w:color w:val="auto"/>
                <w:w w:val="95"/>
              </w:rPr>
              <w:t>Total IAC</w:t>
            </w: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vMerge w:val="restart"/>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68"/>
        </w:trPr>
        <w:tc>
          <w:tcPr>
            <w:tcW w:w="2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Borders>
              <w:right w:val="single" w:sz="8" w:color="auto"/>
            </w:tcBorders>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3"/>
            <w:vMerge w:val="restart"/>
          </w:tcPr>
          <w:p>
            <w:pPr>
              <w:jc w:val="right"/>
              <w:ind w:right="69"/>
              <w:spacing w:after="0"/>
              <w:rPr>
                <w:sz w:val="20"/>
                <w:szCs w:val="20"/>
                <w:color w:val="auto"/>
              </w:rPr>
            </w:pPr>
            <w:r>
              <w:rPr>
                <w:rFonts w:ascii="Times New Roman" w:cs="Times New Roman" w:eastAsia="Times New Roman" w:hAnsi="Times New Roman"/>
                <w:sz w:val="11"/>
                <w:szCs w:val="11"/>
                <w:b w:val="1"/>
                <w:bCs w:val="1"/>
                <w:color w:val="auto"/>
                <w:w w:val="98"/>
              </w:rPr>
              <w:t>$.0001 par value</w:t>
            </w:r>
          </w:p>
        </w:tc>
        <w:tc>
          <w:tcPr>
            <w:tcW w:w="8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gridSpan w:val="3"/>
            <w:vMerge w:val="restart"/>
          </w:tcPr>
          <w:p>
            <w:pPr>
              <w:jc w:val="right"/>
              <w:ind w:right="329"/>
              <w:spacing w:after="0"/>
              <w:rPr>
                <w:sz w:val="20"/>
                <w:szCs w:val="20"/>
                <w:color w:val="auto"/>
              </w:rPr>
            </w:pPr>
            <w:r>
              <w:rPr>
                <w:rFonts w:ascii="Times New Roman" w:cs="Times New Roman" w:eastAsia="Times New Roman" w:hAnsi="Times New Roman"/>
                <w:sz w:val="11"/>
                <w:szCs w:val="11"/>
                <w:b w:val="1"/>
                <w:bCs w:val="1"/>
                <w:color w:val="auto"/>
              </w:rPr>
              <w:t>value</w:t>
            </w:r>
          </w:p>
        </w:tc>
        <w:tc>
          <w:tcPr>
            <w:tcW w:w="80" w:type="dxa"/>
            <w:vAlign w:val="bottom"/>
            <w:vMerge w:val="restart"/>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160" w:type="dxa"/>
            <w:vAlign w:val="bottom"/>
          </w:tcPr>
          <w:p>
            <w:pPr>
              <w:spacing w:after="0"/>
              <w:rPr>
                <w:sz w:val="7"/>
                <w:szCs w:val="7"/>
                <w:color w:val="auto"/>
              </w:rPr>
            </w:pPr>
          </w:p>
        </w:tc>
        <w:tc>
          <w:tcPr>
            <w:tcW w:w="900" w:type="dxa"/>
            <w:vAlign w:val="bottom"/>
            <w:tcBorders>
              <w:right w:val="single" w:sz="8" w:color="auto"/>
            </w:tcBorders>
            <w:gridSpan w:val="3"/>
          </w:tcPr>
          <w:p>
            <w:pPr>
              <w:jc w:val="center"/>
              <w:ind w:right="100"/>
              <w:spacing w:after="0" w:line="88" w:lineRule="exact"/>
              <w:rPr>
                <w:sz w:val="20"/>
                <w:szCs w:val="20"/>
                <w:color w:val="auto"/>
              </w:rPr>
            </w:pPr>
            <w:r>
              <w:rPr>
                <w:rFonts w:ascii="Times New Roman" w:cs="Times New Roman" w:eastAsia="Times New Roman" w:hAnsi="Times New Roman"/>
                <w:sz w:val="10"/>
                <w:szCs w:val="10"/>
                <w:b w:val="1"/>
                <w:bCs w:val="1"/>
                <w:color w:val="auto"/>
              </w:rPr>
              <w:t>Noncontrolling</w:t>
            </w:r>
          </w:p>
        </w:tc>
        <w:tc>
          <w:tcPr>
            <w:tcW w:w="6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gridSpan w:val="3"/>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gridSpan w:val="3"/>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840" w:type="dxa"/>
            <w:vAlign w:val="bottom"/>
            <w:gridSpan w:val="2"/>
          </w:tcPr>
          <w:p>
            <w:pPr>
              <w:jc w:val="center"/>
              <w:ind w:right="80"/>
              <w:spacing w:after="0" w:line="88" w:lineRule="exact"/>
              <w:rPr>
                <w:sz w:val="20"/>
                <w:szCs w:val="20"/>
                <w:color w:val="auto"/>
              </w:rPr>
            </w:pPr>
            <w:r>
              <w:rPr>
                <w:rFonts w:ascii="Times New Roman" w:cs="Times New Roman" w:eastAsia="Times New Roman" w:hAnsi="Times New Roman"/>
                <w:sz w:val="10"/>
                <w:szCs w:val="10"/>
                <w:b w:val="1"/>
                <w:bCs w:val="1"/>
                <w:color w:val="auto"/>
              </w:rPr>
              <w:t>Additional</w:t>
            </w:r>
          </w:p>
        </w:tc>
        <w:tc>
          <w:tcPr>
            <w:tcW w:w="860" w:type="dxa"/>
            <w:vAlign w:val="bottom"/>
            <w:gridSpan w:val="3"/>
          </w:tcPr>
          <w:p>
            <w:pPr>
              <w:jc w:val="center"/>
              <w:ind w:right="80"/>
              <w:spacing w:after="0" w:line="88" w:lineRule="exact"/>
              <w:rPr>
                <w:sz w:val="20"/>
                <w:szCs w:val="20"/>
                <w:color w:val="auto"/>
              </w:rPr>
            </w:pPr>
            <w:r>
              <w:rPr>
                <w:rFonts w:ascii="Times New Roman" w:cs="Times New Roman" w:eastAsia="Times New Roman" w:hAnsi="Times New Roman"/>
                <w:sz w:val="10"/>
                <w:szCs w:val="10"/>
                <w:b w:val="1"/>
                <w:bCs w:val="1"/>
                <w:color w:val="auto"/>
              </w:rPr>
              <w:t>(Accumulated</w:t>
            </w:r>
          </w:p>
        </w:tc>
        <w:tc>
          <w:tcPr>
            <w:tcW w:w="900" w:type="dxa"/>
            <w:vAlign w:val="bottom"/>
            <w:gridSpan w:val="3"/>
          </w:tcPr>
          <w:p>
            <w:pPr>
              <w:jc w:val="center"/>
              <w:ind w:right="60"/>
              <w:spacing w:after="0" w:line="88" w:lineRule="exact"/>
              <w:rPr>
                <w:sz w:val="20"/>
                <w:szCs w:val="20"/>
                <w:color w:val="auto"/>
              </w:rPr>
            </w:pPr>
            <w:r>
              <w:rPr>
                <w:rFonts w:ascii="Times New Roman" w:cs="Times New Roman" w:eastAsia="Times New Roman" w:hAnsi="Times New Roman"/>
                <w:sz w:val="10"/>
                <w:szCs w:val="10"/>
                <w:b w:val="1"/>
                <w:bCs w:val="1"/>
                <w:color w:val="auto"/>
              </w:rPr>
              <w:t>Comprehensive</w:t>
            </w:r>
          </w:p>
        </w:tc>
        <w:tc>
          <w:tcPr>
            <w:tcW w:w="100" w:type="dxa"/>
            <w:vAlign w:val="bottom"/>
          </w:tcPr>
          <w:p>
            <w:pPr>
              <w:spacing w:after="0"/>
              <w:rPr>
                <w:sz w:val="7"/>
                <w:szCs w:val="7"/>
                <w:color w:val="auto"/>
              </w:rPr>
            </w:pPr>
          </w:p>
        </w:tc>
        <w:tc>
          <w:tcPr>
            <w:tcW w:w="680" w:type="dxa"/>
            <w:vAlign w:val="bottom"/>
            <w:gridSpan w:val="2"/>
          </w:tcPr>
          <w:p>
            <w:pPr>
              <w:ind w:left="40"/>
              <w:spacing w:after="0" w:line="88" w:lineRule="exact"/>
              <w:rPr>
                <w:sz w:val="20"/>
                <w:szCs w:val="20"/>
                <w:color w:val="auto"/>
              </w:rPr>
            </w:pPr>
            <w:r>
              <w:rPr>
                <w:rFonts w:ascii="Times New Roman" w:cs="Times New Roman" w:eastAsia="Times New Roman" w:hAnsi="Times New Roman"/>
                <w:sz w:val="10"/>
                <w:szCs w:val="10"/>
                <w:b w:val="1"/>
                <w:bCs w:val="1"/>
                <w:color w:val="auto"/>
              </w:rPr>
              <w:t>Treasury</w:t>
            </w:r>
          </w:p>
        </w:tc>
        <w:tc>
          <w:tcPr>
            <w:tcW w:w="860" w:type="dxa"/>
            <w:vAlign w:val="bottom"/>
            <w:gridSpan w:val="2"/>
          </w:tcPr>
          <w:p>
            <w:pPr>
              <w:jc w:val="center"/>
              <w:ind w:right="60"/>
              <w:spacing w:after="0" w:line="88" w:lineRule="exact"/>
              <w:rPr>
                <w:sz w:val="20"/>
                <w:szCs w:val="20"/>
                <w:color w:val="auto"/>
              </w:rPr>
            </w:pPr>
            <w:r>
              <w:rPr>
                <w:rFonts w:ascii="Times New Roman" w:cs="Times New Roman" w:eastAsia="Times New Roman" w:hAnsi="Times New Roman"/>
                <w:sz w:val="10"/>
                <w:szCs w:val="10"/>
                <w:b w:val="1"/>
                <w:bCs w:val="1"/>
                <w:color w:val="auto"/>
              </w:rPr>
              <w:t>Shareholders'</w:t>
            </w:r>
          </w:p>
        </w:tc>
        <w:tc>
          <w:tcPr>
            <w:tcW w:w="860" w:type="dxa"/>
            <w:vAlign w:val="bottom"/>
            <w:gridSpan w:val="3"/>
          </w:tcPr>
          <w:p>
            <w:pPr>
              <w:jc w:val="center"/>
              <w:ind w:right="80"/>
              <w:spacing w:after="0" w:line="88" w:lineRule="exact"/>
              <w:rPr>
                <w:sz w:val="20"/>
                <w:szCs w:val="20"/>
                <w:color w:val="auto"/>
              </w:rPr>
            </w:pPr>
            <w:r>
              <w:rPr>
                <w:rFonts w:ascii="Times New Roman" w:cs="Times New Roman" w:eastAsia="Times New Roman" w:hAnsi="Times New Roman"/>
                <w:sz w:val="10"/>
                <w:szCs w:val="10"/>
                <w:b w:val="1"/>
                <w:bCs w:val="1"/>
                <w:color w:val="auto"/>
              </w:rPr>
              <w:t>Noncontrolling</w:t>
            </w:r>
          </w:p>
        </w:tc>
        <w:tc>
          <w:tcPr>
            <w:tcW w:w="760" w:type="dxa"/>
            <w:vAlign w:val="bottom"/>
          </w:tcPr>
          <w:p>
            <w:pPr>
              <w:jc w:val="center"/>
              <w:spacing w:after="0" w:line="88" w:lineRule="exact"/>
              <w:rPr>
                <w:sz w:val="20"/>
                <w:szCs w:val="20"/>
                <w:color w:val="auto"/>
              </w:rPr>
            </w:pPr>
            <w:r>
              <w:rPr>
                <w:rFonts w:ascii="Times New Roman" w:cs="Times New Roman" w:eastAsia="Times New Roman" w:hAnsi="Times New Roman"/>
                <w:sz w:val="10"/>
                <w:szCs w:val="10"/>
                <w:b w:val="1"/>
                <w:bCs w:val="1"/>
                <w:color w:val="auto"/>
              </w:rPr>
              <w:t>Shareholders'</w:t>
            </w:r>
          </w:p>
        </w:tc>
        <w:tc>
          <w:tcPr>
            <w:tcW w:w="0" w:type="dxa"/>
            <w:vAlign w:val="bottom"/>
          </w:tcPr>
          <w:p>
            <w:pPr>
              <w:spacing w:after="0"/>
              <w:rPr>
                <w:sz w:val="1"/>
                <w:szCs w:val="1"/>
                <w:color w:val="auto"/>
              </w:rPr>
            </w:pPr>
          </w:p>
        </w:tc>
      </w:tr>
      <w:tr>
        <w:trPr>
          <w:trHeight w:val="155"/>
        </w:trPr>
        <w:tc>
          <w:tcPr>
            <w:tcW w:w="2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Borders>
              <w:right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Interests</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13"/>
                <w:szCs w:val="13"/>
                <w:color w:val="auto"/>
              </w:rPr>
            </w:pPr>
          </w:p>
        </w:tc>
        <w:tc>
          <w:tcPr>
            <w:tcW w:w="62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13"/>
                <w:szCs w:val="13"/>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1"/>
                <w:szCs w:val="11"/>
                <w:b w:val="1"/>
                <w:bCs w:val="1"/>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Paid-in Capital</w:t>
            </w:r>
          </w:p>
        </w:tc>
        <w:tc>
          <w:tcPr>
            <w:tcW w:w="140" w:type="dxa"/>
            <w:vAlign w:val="bottom"/>
          </w:tcPr>
          <w:p>
            <w:pPr>
              <w:spacing w:after="0"/>
              <w:rPr>
                <w:sz w:val="13"/>
                <w:szCs w:val="13"/>
                <w:color w:val="auto"/>
              </w:rPr>
            </w:pPr>
          </w:p>
        </w:tc>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Deficit)</w:t>
            </w:r>
          </w:p>
        </w:tc>
        <w:tc>
          <w:tcPr>
            <w:tcW w:w="90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9"/>
              </w:rPr>
              <w:t>Income (Loss)</w:t>
            </w:r>
          </w:p>
        </w:tc>
        <w:tc>
          <w:tcPr>
            <w:tcW w:w="100" w:type="dxa"/>
            <w:vAlign w:val="bottom"/>
          </w:tcPr>
          <w:p>
            <w:pPr>
              <w:spacing w:after="0"/>
              <w:rPr>
                <w:sz w:val="13"/>
                <w:szCs w:val="13"/>
                <w:color w:val="auto"/>
              </w:rPr>
            </w:pP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Stock</w:t>
            </w: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140" w:type="dxa"/>
            <w:vAlign w:val="bottom"/>
          </w:tcPr>
          <w:p>
            <w:pPr>
              <w:spacing w:after="0"/>
              <w:rPr>
                <w:sz w:val="13"/>
                <w:szCs w:val="13"/>
                <w:color w:val="auto"/>
              </w:rPr>
            </w:pPr>
          </w:p>
        </w:tc>
        <w:tc>
          <w:tcPr>
            <w:tcW w:w="7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7"/>
              </w:rPr>
              <w:t>Interests</w:t>
            </w: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52"/>
        </w:trPr>
        <w:tc>
          <w:tcPr>
            <w:tcW w:w="21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620" w:type="dxa"/>
            <w:vAlign w:val="bottom"/>
            <w:tcBorders>
              <w:top w:val="single" w:sz="8" w:color="auto"/>
            </w:tcBorders>
            <w:gridSpan w:val="5"/>
          </w:tcPr>
          <w:p>
            <w:pPr>
              <w:ind w:left="48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18,741</w:t>
            </w: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83,922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5,789</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$ 6,265,669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905,151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$ 7,175,226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573,734</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$ 7,748,960</w:t>
            </w:r>
          </w:p>
        </w:tc>
        <w:tc>
          <w:tcPr>
            <w:tcW w:w="0" w:type="dxa"/>
            <w:vAlign w:val="bottom"/>
          </w:tcPr>
          <w:p>
            <w:pPr>
              <w:spacing w:after="0"/>
              <w:rPr>
                <w:sz w:val="1"/>
                <w:szCs w:val="1"/>
                <w:color w:val="auto"/>
              </w:rPr>
            </w:pPr>
          </w:p>
        </w:tc>
      </w:tr>
      <w:tr>
        <w:trPr>
          <w:trHeight w:val="195"/>
        </w:trPr>
        <w:tc>
          <w:tcPr>
            <w:tcW w:w="2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(2,130)</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(1,170,170)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(1,170,170)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(20,155)</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(1,190,325)</w:t>
            </w:r>
          </w:p>
        </w:tc>
        <w:tc>
          <w:tcPr>
            <w:tcW w:w="0" w:type="dxa"/>
            <w:vAlign w:val="bottom"/>
          </w:tcPr>
          <w:p>
            <w:pPr>
              <w:spacing w:after="0"/>
              <w:rPr>
                <w:sz w:val="1"/>
                <w:szCs w:val="1"/>
                <w:color w:val="auto"/>
              </w:rPr>
            </w:pPr>
          </w:p>
        </w:tc>
      </w:tr>
      <w:tr>
        <w:trPr>
          <w:trHeight w:val="210"/>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0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(17,541)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(17,541)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(1,235)</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(18,776)</w:t>
            </w:r>
          </w:p>
        </w:tc>
        <w:tc>
          <w:tcPr>
            <w:tcW w:w="0" w:type="dxa"/>
            <w:vAlign w:val="bottom"/>
          </w:tcPr>
          <w:p>
            <w:pPr>
              <w:spacing w:after="0"/>
              <w:rPr>
                <w:sz w:val="1"/>
                <w:szCs w:val="1"/>
                <w:color w:val="auto"/>
              </w:rPr>
            </w:pPr>
          </w:p>
        </w:tc>
      </w:tr>
      <w:tr>
        <w:trPr>
          <w:trHeight w:val="195"/>
        </w:trPr>
        <w:tc>
          <w:tcPr>
            <w:tcW w:w="2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0" w:type="dxa"/>
            <w:vAlign w:val="bottom"/>
          </w:tcPr>
          <w:p>
            <w:pPr>
              <w:spacing w:after="0"/>
              <w:rPr>
                <w:sz w:val="16"/>
                <w:szCs w:val="16"/>
                <w:color w:val="auto"/>
              </w:rPr>
            </w:pPr>
          </w:p>
        </w:tc>
        <w:tc>
          <w:tcPr>
            <w:tcW w:w="8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70,808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70,808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55,891</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126,699</w:t>
            </w:r>
          </w:p>
        </w:tc>
        <w:tc>
          <w:tcPr>
            <w:tcW w:w="0" w:type="dxa"/>
            <w:vAlign w:val="bottom"/>
          </w:tcPr>
          <w:p>
            <w:pPr>
              <w:spacing w:after="0"/>
              <w:rPr>
                <w:sz w:val="1"/>
                <w:szCs w:val="1"/>
                <w:color w:val="auto"/>
              </w:rPr>
            </w:pPr>
          </w:p>
        </w:tc>
      </w:tr>
      <w:tr>
        <w:trPr>
          <w:trHeight w:val="142"/>
        </w:trPr>
        <w:tc>
          <w:tcPr>
            <w:tcW w:w="21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Issuance of common stock pursuant</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16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to stock-based awards, net of</w:t>
            </w:r>
          </w:p>
        </w:tc>
        <w:tc>
          <w:tcPr>
            <w:tcW w:w="100" w:type="dxa"/>
            <w:vAlign w:val="bottom"/>
            <w:shd w:val="clear" w:color="auto" w:fill="CCEEFF"/>
          </w:tcPr>
          <w:p>
            <w:pPr>
              <w:spacing w:after="0"/>
              <w:rPr>
                <w:sz w:val="12"/>
                <w:szCs w:val="12"/>
                <w:color w:val="auto"/>
              </w:rPr>
            </w:pPr>
          </w:p>
        </w:tc>
        <w:tc>
          <w:tcPr>
            <w:tcW w:w="80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(16,905)</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(16,905)</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(16,905)</w:t>
            </w:r>
          </w:p>
        </w:tc>
        <w:tc>
          <w:tcPr>
            <w:tcW w:w="0" w:type="dxa"/>
            <w:vAlign w:val="bottom"/>
          </w:tcPr>
          <w:p>
            <w:pPr>
              <w:spacing w:after="0"/>
              <w:rPr>
                <w:sz w:val="1"/>
                <w:szCs w:val="1"/>
                <w:color w:val="auto"/>
              </w:rPr>
            </w:pPr>
          </w:p>
        </w:tc>
      </w:tr>
      <w:tr>
        <w:trPr>
          <w:trHeight w:val="192"/>
        </w:trPr>
        <w:tc>
          <w:tcPr>
            <w:tcW w:w="2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withholding taxes</w:t>
            </w:r>
          </w:p>
        </w:tc>
        <w:tc>
          <w:tcPr>
            <w:tcW w:w="1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right w:val="single" w:sz="8" w:color="auto"/>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gridSpan w:val="2"/>
            <w:vMerge w:val="continue"/>
            <w:shd w:val="clear" w:color="auto" w:fill="CCEEFF"/>
          </w:tcPr>
          <w:p>
            <w:pPr>
              <w:spacing w:after="0"/>
              <w:rPr>
                <w:sz w:val="16"/>
                <w:szCs w:val="16"/>
                <w:color w:val="auto"/>
              </w:rPr>
            </w:pPr>
          </w:p>
        </w:tc>
        <w:tc>
          <w:tcPr>
            <w:tcW w:w="54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vMerge w:val="continue"/>
            <w:shd w:val="clear" w:color="auto" w:fill="CCEEFF"/>
          </w:tcPr>
          <w:p>
            <w:pPr>
              <w:spacing w:after="0"/>
              <w:rPr>
                <w:sz w:val="16"/>
                <w:szCs w:val="16"/>
                <w:color w:val="auto"/>
              </w:rPr>
            </w:pPr>
          </w:p>
        </w:tc>
        <w:tc>
          <w:tcPr>
            <w:tcW w:w="76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vMerge w:val="continue"/>
            <w:shd w:val="clear" w:color="auto" w:fill="CCEEFF"/>
          </w:tcPr>
          <w:p>
            <w:pPr>
              <w:spacing w:after="0"/>
              <w:rPr>
                <w:sz w:val="16"/>
                <w:szCs w:val="16"/>
                <w:color w:val="auto"/>
              </w:rPr>
            </w:pPr>
          </w:p>
        </w:tc>
        <w:tc>
          <w:tcPr>
            <w:tcW w:w="78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vMerge w:val="continue"/>
            <w:shd w:val="clear" w:color="auto" w:fill="CCEEFF"/>
          </w:tcPr>
          <w:p>
            <w:pPr>
              <w:spacing w:after="0"/>
              <w:rPr>
                <w:sz w:val="16"/>
                <w:szCs w:val="16"/>
                <w:color w:val="auto"/>
              </w:rPr>
            </w:pPr>
          </w:p>
        </w:tc>
        <w:tc>
          <w:tcPr>
            <w:tcW w:w="76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16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Issuance of Angi Inc. common stock</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1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pursuant to stock-based awards, net</w:t>
            </w:r>
          </w:p>
        </w:tc>
        <w:tc>
          <w:tcPr>
            <w:tcW w:w="100" w:type="dxa"/>
            <w:vAlign w:val="bottom"/>
          </w:tcPr>
          <w:p>
            <w:pPr>
              <w:spacing w:after="0"/>
              <w:rPr>
                <w:sz w:val="12"/>
                <w:szCs w:val="12"/>
                <w:color w:val="auto"/>
              </w:rPr>
            </w:pPr>
          </w:p>
        </w:tc>
        <w:tc>
          <w:tcPr>
            <w:tcW w:w="80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(12,276)</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(12,265)</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3,638</w:t>
            </w:r>
          </w:p>
        </w:tc>
        <w:tc>
          <w:tcPr>
            <w:tcW w:w="1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(8,627)</w:t>
            </w:r>
          </w:p>
        </w:tc>
        <w:tc>
          <w:tcPr>
            <w:tcW w:w="0" w:type="dxa"/>
            <w:vAlign w:val="bottom"/>
          </w:tcPr>
          <w:p>
            <w:pPr>
              <w:spacing w:after="0"/>
              <w:rPr>
                <w:sz w:val="1"/>
                <w:szCs w:val="1"/>
                <w:color w:val="auto"/>
              </w:rPr>
            </w:pPr>
          </w:p>
        </w:tc>
      </w:tr>
      <w:tr>
        <w:trPr>
          <w:trHeight w:val="188"/>
        </w:trPr>
        <w:tc>
          <w:tcPr>
            <w:tcW w:w="2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of withholding taxes</w:t>
            </w:r>
          </w:p>
        </w:tc>
        <w:tc>
          <w:tcPr>
            <w:tcW w:w="100" w:type="dxa"/>
            <w:vAlign w:val="bottom"/>
          </w:tcPr>
          <w:p>
            <w:pPr>
              <w:spacing w:after="0"/>
              <w:rPr>
                <w:sz w:val="16"/>
                <w:szCs w:val="16"/>
                <w:color w:val="auto"/>
              </w:rPr>
            </w:pPr>
          </w:p>
        </w:tc>
        <w:tc>
          <w:tcPr>
            <w:tcW w:w="80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 of IAC treasury stock</w:t>
            </w:r>
          </w:p>
        </w:tc>
        <w:tc>
          <w:tcPr>
            <w:tcW w:w="100" w:type="dxa"/>
            <w:vAlign w:val="bottom"/>
            <w:shd w:val="clear" w:color="auto" w:fill="CCEEFF"/>
          </w:tcPr>
          <w:p>
            <w:pPr>
              <w:spacing w:after="0"/>
              <w:rPr>
                <w:sz w:val="17"/>
                <w:szCs w:val="17"/>
                <w:color w:val="auto"/>
              </w:rPr>
            </w:pPr>
          </w:p>
        </w:tc>
        <w:tc>
          <w:tcPr>
            <w:tcW w:w="80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(85,323)</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(85,323)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(85,323)</w:t>
            </w:r>
          </w:p>
        </w:tc>
        <w:tc>
          <w:tcPr>
            <w:tcW w:w="0" w:type="dxa"/>
            <w:vAlign w:val="bottom"/>
          </w:tcPr>
          <w:p>
            <w:pPr>
              <w:spacing w:after="0"/>
              <w:rPr>
                <w:sz w:val="1"/>
                <w:szCs w:val="1"/>
                <w:color w:val="auto"/>
              </w:rPr>
            </w:pPr>
          </w:p>
        </w:tc>
      </w:tr>
      <w:tr>
        <w:trPr>
          <w:trHeight w:val="195"/>
        </w:trPr>
        <w:tc>
          <w:tcPr>
            <w:tcW w:w="2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 of Angi Inc. treasury stock</w:t>
            </w:r>
          </w:p>
        </w:tc>
        <w:tc>
          <w:tcPr>
            <w:tcW w:w="100" w:type="dxa"/>
            <w:vAlign w:val="bottom"/>
          </w:tcPr>
          <w:p>
            <w:pPr>
              <w:spacing w:after="0"/>
              <w:rPr>
                <w:sz w:val="16"/>
                <w:szCs w:val="16"/>
                <w:color w:val="auto"/>
              </w:rPr>
            </w:pPr>
          </w:p>
        </w:tc>
        <w:tc>
          <w:tcPr>
            <w:tcW w:w="8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(8,144)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(8,144)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(8,144)</w:t>
            </w:r>
          </w:p>
        </w:tc>
        <w:tc>
          <w:tcPr>
            <w:tcW w:w="0" w:type="dxa"/>
            <w:vAlign w:val="bottom"/>
          </w:tcPr>
          <w:p>
            <w:pPr>
              <w:spacing w:after="0"/>
              <w:rPr>
                <w:sz w:val="1"/>
                <w:szCs w:val="1"/>
                <w:color w:val="auto"/>
              </w:rPr>
            </w:pPr>
          </w:p>
        </w:tc>
      </w:tr>
      <w:tr>
        <w:trPr>
          <w:trHeight w:val="210"/>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 of noncontrolling interests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(1,179)</w:t>
            </w: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5"/>
        </w:trPr>
        <w:tc>
          <w:tcPr>
            <w:tcW w:w="216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Adjustment of noncontrolling</w:t>
            </w:r>
          </w:p>
        </w:tc>
        <w:tc>
          <w:tcPr>
            <w:tcW w:w="10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24,229</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(24,229)</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(24,229)</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(24,229)</w:t>
            </w:r>
          </w:p>
        </w:tc>
        <w:tc>
          <w:tcPr>
            <w:tcW w:w="0" w:type="dxa"/>
            <w:vAlign w:val="bottom"/>
          </w:tcPr>
          <w:p>
            <w:pPr>
              <w:spacing w:after="0"/>
              <w:rPr>
                <w:sz w:val="1"/>
                <w:szCs w:val="1"/>
                <w:color w:val="auto"/>
              </w:rPr>
            </w:pPr>
          </w:p>
        </w:tc>
      </w:tr>
      <w:tr>
        <w:trPr>
          <w:trHeight w:val="195"/>
        </w:trPr>
        <w:tc>
          <w:tcPr>
            <w:tcW w:w="2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interests to redemption amount</w:t>
            </w:r>
          </w:p>
        </w:tc>
        <w:tc>
          <w:tcPr>
            <w:tcW w:w="1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1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Issuance of Vivian Health preferred</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16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shares, net of fees, and the</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reclassification and creation of</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16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noncontrolling interest and</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16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subsequent adjustment to</w:t>
            </w:r>
          </w:p>
        </w:tc>
        <w:tc>
          <w:tcPr>
            <w:tcW w:w="1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(11,782)</w:t>
            </w: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17,818</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17,818</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36,882</w:t>
            </w: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54,700</w:t>
            </w:r>
          </w:p>
        </w:tc>
        <w:tc>
          <w:tcPr>
            <w:tcW w:w="0" w:type="dxa"/>
            <w:vAlign w:val="bottom"/>
          </w:tcPr>
          <w:p>
            <w:pPr>
              <w:spacing w:after="0"/>
              <w:rPr>
                <w:sz w:val="1"/>
                <w:szCs w:val="1"/>
                <w:color w:val="auto"/>
              </w:rPr>
            </w:pPr>
          </w:p>
        </w:tc>
      </w:tr>
      <w:tr>
        <w:trPr>
          <w:trHeight w:val="192"/>
        </w:trPr>
        <w:tc>
          <w:tcPr>
            <w:tcW w:w="2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liquidation value</w:t>
            </w: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right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gridSpan w:val="2"/>
            <w:vMerge w:val="continue"/>
            <w:shd w:val="clear" w:color="auto" w:fill="CCEEFF"/>
          </w:tcPr>
          <w:p>
            <w:pPr>
              <w:spacing w:after="0"/>
              <w:rPr>
                <w:sz w:val="16"/>
                <w:szCs w:val="16"/>
                <w:color w:val="auto"/>
              </w:rPr>
            </w:pPr>
          </w:p>
        </w:tc>
        <w:tc>
          <w:tcPr>
            <w:tcW w:w="62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vMerge w:val="continue"/>
            <w:shd w:val="clear" w:color="auto" w:fill="CCEEFF"/>
          </w:tcPr>
          <w:p>
            <w:pPr>
              <w:spacing w:after="0"/>
              <w:rPr>
                <w:sz w:val="16"/>
                <w:szCs w:val="16"/>
                <w:color w:val="auto"/>
              </w:rPr>
            </w:pPr>
          </w:p>
        </w:tc>
        <w:tc>
          <w:tcPr>
            <w:tcW w:w="76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vMerge w:val="continue"/>
            <w:shd w:val="clear" w:color="auto" w:fill="CCEEFF"/>
          </w:tcPr>
          <w:p>
            <w:pPr>
              <w:spacing w:after="0"/>
              <w:rPr>
                <w:sz w:val="16"/>
                <w:szCs w:val="16"/>
                <w:color w:val="auto"/>
              </w:rPr>
            </w:pPr>
          </w:p>
        </w:tc>
        <w:tc>
          <w:tcPr>
            <w:tcW w:w="78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16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Adjustment to noncontrolling</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1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interests resulting from the</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reorganization of a foreign</w:t>
            </w:r>
          </w:p>
        </w:tc>
        <w:tc>
          <w:tcPr>
            <w:tcW w:w="100" w:type="dxa"/>
            <w:vAlign w:val="bottom"/>
          </w:tcPr>
          <w:p>
            <w:pPr>
              <w:spacing w:after="0"/>
              <w:rPr>
                <w:sz w:val="12"/>
                <w:szCs w:val="12"/>
                <w:color w:val="auto"/>
              </w:rPr>
            </w:pPr>
          </w:p>
        </w:tc>
        <w:tc>
          <w:tcPr>
            <w:tcW w:w="80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7,580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7,580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(7,835)</w:t>
            </w:r>
          </w:p>
        </w:tc>
        <w:tc>
          <w:tcPr>
            <w:tcW w:w="1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0" w:type="dxa"/>
            <w:vAlign w:val="bottom"/>
          </w:tcPr>
          <w:p>
            <w:pPr>
              <w:spacing w:after="0"/>
              <w:rPr>
                <w:sz w:val="1"/>
                <w:szCs w:val="1"/>
                <w:color w:val="auto"/>
              </w:rPr>
            </w:pPr>
          </w:p>
        </w:tc>
      </w:tr>
      <w:tr>
        <w:trPr>
          <w:trHeight w:val="188"/>
        </w:trPr>
        <w:tc>
          <w:tcPr>
            <w:tcW w:w="2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subsidiary</w:t>
            </w:r>
          </w:p>
        </w:tc>
        <w:tc>
          <w:tcPr>
            <w:tcW w:w="100" w:type="dxa"/>
            <w:vAlign w:val="bottom"/>
          </w:tcPr>
          <w:p>
            <w:pPr>
              <w:spacing w:after="0"/>
              <w:rPr>
                <w:sz w:val="16"/>
                <w:szCs w:val="16"/>
                <w:color w:val="auto"/>
              </w:rPr>
            </w:pPr>
          </w:p>
        </w:tc>
        <w:tc>
          <w:tcPr>
            <w:tcW w:w="80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w:t>
            </w: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(5,241)</w:t>
            </w:r>
          </w:p>
        </w:tc>
        <w:tc>
          <w:tcPr>
            <w:tcW w:w="0" w:type="dxa"/>
            <w:vAlign w:val="bottom"/>
          </w:tcPr>
          <w:p>
            <w:pPr>
              <w:spacing w:after="0"/>
              <w:rPr>
                <w:sz w:val="1"/>
                <w:szCs w:val="1"/>
                <w:color w:val="auto"/>
              </w:rPr>
            </w:pPr>
          </w:p>
        </w:tc>
      </w:tr>
      <w:tr>
        <w:trPr>
          <w:trHeight w:val="189"/>
        </w:trPr>
        <w:tc>
          <w:tcPr>
            <w:tcW w:w="2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27,235</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6"/>
                <w:szCs w:val="16"/>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84,184</w:t>
            </w:r>
          </w:p>
        </w:tc>
        <w:tc>
          <w:tcPr>
            <w:tcW w:w="8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5,789</w:t>
            </w:r>
          </w:p>
        </w:tc>
        <w:tc>
          <w:tcPr>
            <w:tcW w:w="80" w:type="dxa"/>
            <w:vAlign w:val="bottom"/>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$ 6,295,080</w:t>
            </w:r>
          </w:p>
        </w:tc>
        <w:tc>
          <w:tcPr>
            <w:tcW w:w="8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(265,019)</w:t>
            </w:r>
          </w:p>
        </w:tc>
        <w:tc>
          <w:tcPr>
            <w:tcW w:w="8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(13,133)</w:t>
            </w:r>
          </w:p>
        </w:tc>
        <w:tc>
          <w:tcPr>
            <w:tcW w:w="8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(85,323)</w:t>
            </w:r>
          </w:p>
        </w:tc>
        <w:tc>
          <w:tcPr>
            <w:tcW w:w="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$ 5,931,614</w:t>
            </w:r>
          </w:p>
        </w:tc>
        <w:tc>
          <w:tcPr>
            <w:tcW w:w="8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640,920</w:t>
            </w:r>
          </w:p>
        </w:tc>
        <w:tc>
          <w:tcPr>
            <w:tcW w:w="100" w:type="dxa"/>
            <w:vAlign w:val="bottom"/>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$ 6,572,534</w:t>
            </w:r>
          </w:p>
        </w:tc>
        <w:tc>
          <w:tcPr>
            <w:tcW w:w="0" w:type="dxa"/>
            <w:vAlign w:val="bottom"/>
          </w:tcPr>
          <w:p>
            <w:pPr>
              <w:spacing w:after="0"/>
              <w:rPr>
                <w:sz w:val="1"/>
                <w:szCs w:val="1"/>
                <w:color w:val="auto"/>
              </w:rPr>
            </w:pPr>
          </w:p>
        </w:tc>
      </w:tr>
      <w:tr>
        <w:trPr>
          <w:trHeight w:val="210"/>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earnings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(1,175)</w:t>
            </w: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265,942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265,942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(6,450)</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259,492</w:t>
            </w:r>
          </w:p>
        </w:tc>
        <w:tc>
          <w:tcPr>
            <w:tcW w:w="0" w:type="dxa"/>
            <w:vAlign w:val="bottom"/>
          </w:tcPr>
          <w:p>
            <w:pPr>
              <w:spacing w:after="0"/>
              <w:rPr>
                <w:sz w:val="1"/>
                <w:szCs w:val="1"/>
                <w:color w:val="auto"/>
              </w:rPr>
            </w:pPr>
          </w:p>
        </w:tc>
      </w:tr>
      <w:tr>
        <w:trPr>
          <w:trHeight w:val="135"/>
        </w:trPr>
        <w:tc>
          <w:tcPr>
            <w:tcW w:w="216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Other comprehensive income, net of</w:t>
            </w:r>
          </w:p>
        </w:tc>
        <w:tc>
          <w:tcPr>
            <w:tcW w:w="100" w:type="dxa"/>
            <w:vAlign w:val="bottom"/>
          </w:tcPr>
          <w:p>
            <w:pPr>
              <w:spacing w:after="0"/>
              <w:rPr>
                <w:sz w:val="11"/>
                <w:szCs w:val="11"/>
                <w:color w:val="auto"/>
              </w:rPr>
            </w:pPr>
          </w:p>
        </w:tc>
        <w:tc>
          <w:tcPr>
            <w:tcW w:w="80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2,186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2,186</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513</w:t>
            </w:r>
          </w:p>
        </w:tc>
        <w:tc>
          <w:tcPr>
            <w:tcW w:w="1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2,699</w:t>
            </w:r>
          </w:p>
        </w:tc>
        <w:tc>
          <w:tcPr>
            <w:tcW w:w="0" w:type="dxa"/>
            <w:vAlign w:val="bottom"/>
          </w:tcPr>
          <w:p>
            <w:pPr>
              <w:spacing w:after="0"/>
              <w:rPr>
                <w:sz w:val="1"/>
                <w:szCs w:val="1"/>
                <w:color w:val="auto"/>
              </w:rPr>
            </w:pPr>
          </w:p>
        </w:tc>
      </w:tr>
      <w:tr>
        <w:trPr>
          <w:trHeight w:val="195"/>
        </w:trPr>
        <w:tc>
          <w:tcPr>
            <w:tcW w:w="2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taxes</w:t>
            </w:r>
          </w:p>
        </w:tc>
        <w:tc>
          <w:tcPr>
            <w:tcW w:w="100" w:type="dxa"/>
            <w:vAlign w:val="bottom"/>
          </w:tcPr>
          <w:p>
            <w:pPr>
              <w:spacing w:after="0"/>
              <w:rPr>
                <w:sz w:val="16"/>
                <w:szCs w:val="16"/>
                <w:color w:val="auto"/>
              </w:rPr>
            </w:pPr>
          </w:p>
        </w:tc>
        <w:tc>
          <w:tcPr>
            <w:tcW w:w="80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73,562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73,562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48,388</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121,950</w:t>
            </w:r>
          </w:p>
        </w:tc>
        <w:tc>
          <w:tcPr>
            <w:tcW w:w="0" w:type="dxa"/>
            <w:vAlign w:val="bottom"/>
          </w:tcPr>
          <w:p>
            <w:pPr>
              <w:spacing w:after="0"/>
              <w:rPr>
                <w:sz w:val="1"/>
                <w:szCs w:val="1"/>
                <w:color w:val="auto"/>
              </w:rPr>
            </w:pPr>
          </w:p>
        </w:tc>
      </w:tr>
      <w:tr>
        <w:trPr>
          <w:trHeight w:val="135"/>
        </w:trPr>
        <w:tc>
          <w:tcPr>
            <w:tcW w:w="216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Issuance of common stock pursuant</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1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to stock-based awards, net of</w:t>
            </w:r>
          </w:p>
        </w:tc>
        <w:tc>
          <w:tcPr>
            <w:tcW w:w="100" w:type="dxa"/>
            <w:vAlign w:val="bottom"/>
          </w:tcPr>
          <w:p>
            <w:pPr>
              <w:spacing w:after="0"/>
              <w:rPr>
                <w:sz w:val="12"/>
                <w:szCs w:val="12"/>
                <w:color w:val="auto"/>
              </w:rPr>
            </w:pPr>
          </w:p>
        </w:tc>
        <w:tc>
          <w:tcPr>
            <w:tcW w:w="80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(9,814)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(9,814)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(9,814)</w:t>
            </w:r>
          </w:p>
        </w:tc>
        <w:tc>
          <w:tcPr>
            <w:tcW w:w="0" w:type="dxa"/>
            <w:vAlign w:val="bottom"/>
          </w:tcPr>
          <w:p>
            <w:pPr>
              <w:spacing w:after="0"/>
              <w:rPr>
                <w:sz w:val="1"/>
                <w:szCs w:val="1"/>
                <w:color w:val="auto"/>
              </w:rPr>
            </w:pPr>
          </w:p>
        </w:tc>
      </w:tr>
      <w:tr>
        <w:trPr>
          <w:trHeight w:val="188"/>
        </w:trPr>
        <w:tc>
          <w:tcPr>
            <w:tcW w:w="2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withholding taxes</w:t>
            </w:r>
          </w:p>
        </w:tc>
        <w:tc>
          <w:tcPr>
            <w:tcW w:w="100" w:type="dxa"/>
            <w:vAlign w:val="bottom"/>
          </w:tcPr>
          <w:p>
            <w:pPr>
              <w:spacing w:after="0"/>
              <w:rPr>
                <w:sz w:val="16"/>
                <w:szCs w:val="16"/>
                <w:color w:val="auto"/>
              </w:rPr>
            </w:pPr>
          </w:p>
        </w:tc>
        <w:tc>
          <w:tcPr>
            <w:tcW w:w="80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16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Issuance of Angi Inc. common stock</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16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pursuant to stock-based awards, net</w:t>
            </w:r>
          </w:p>
        </w:tc>
        <w:tc>
          <w:tcPr>
            <w:tcW w:w="100" w:type="dxa"/>
            <w:vAlign w:val="bottom"/>
            <w:shd w:val="clear" w:color="auto" w:fill="CCEEFF"/>
          </w:tcPr>
          <w:p>
            <w:pPr>
              <w:spacing w:after="0"/>
              <w:rPr>
                <w:sz w:val="12"/>
                <w:szCs w:val="12"/>
                <w:color w:val="auto"/>
              </w:rPr>
            </w:pPr>
          </w:p>
        </w:tc>
        <w:tc>
          <w:tcPr>
            <w:tcW w:w="80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(5,615)</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w:t>
            </w: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(6,288)</w:t>
            </w:r>
          </w:p>
        </w:tc>
        <w:tc>
          <w:tcPr>
            <w:tcW w:w="0" w:type="dxa"/>
            <w:vAlign w:val="bottom"/>
          </w:tcPr>
          <w:p>
            <w:pPr>
              <w:spacing w:after="0"/>
              <w:rPr>
                <w:sz w:val="1"/>
                <w:szCs w:val="1"/>
                <w:color w:val="auto"/>
              </w:rPr>
            </w:pPr>
          </w:p>
        </w:tc>
      </w:tr>
      <w:tr>
        <w:trPr>
          <w:trHeight w:val="192"/>
        </w:trPr>
        <w:tc>
          <w:tcPr>
            <w:tcW w:w="2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of withholding taxes</w:t>
            </w:r>
          </w:p>
        </w:tc>
        <w:tc>
          <w:tcPr>
            <w:tcW w:w="1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right w:val="single" w:sz="8" w:color="auto"/>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gridSpan w:val="2"/>
            <w:vMerge w:val="continue"/>
            <w:shd w:val="clear" w:color="auto" w:fill="CCEEFF"/>
          </w:tcPr>
          <w:p>
            <w:pPr>
              <w:spacing w:after="0"/>
              <w:rPr>
                <w:sz w:val="16"/>
                <w:szCs w:val="16"/>
                <w:color w:val="auto"/>
              </w:rPr>
            </w:pPr>
          </w:p>
        </w:tc>
        <w:tc>
          <w:tcPr>
            <w:tcW w:w="62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vMerge w:val="continue"/>
            <w:shd w:val="clear" w:color="auto" w:fill="CCEEFF"/>
          </w:tcPr>
          <w:p>
            <w:pPr>
              <w:spacing w:after="0"/>
              <w:rPr>
                <w:sz w:val="16"/>
                <w:szCs w:val="16"/>
                <w:color w:val="auto"/>
              </w:rPr>
            </w:pPr>
          </w:p>
        </w:tc>
        <w:tc>
          <w:tcPr>
            <w:tcW w:w="76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vMerge w:val="continue"/>
            <w:shd w:val="clear" w:color="auto" w:fill="CCEEFF"/>
          </w:tcPr>
          <w:p>
            <w:pPr>
              <w:spacing w:after="0"/>
              <w:rPr>
                <w:sz w:val="16"/>
                <w:szCs w:val="16"/>
                <w:color w:val="auto"/>
              </w:rPr>
            </w:pPr>
          </w:p>
        </w:tc>
        <w:tc>
          <w:tcPr>
            <w:tcW w:w="78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 of IAC treasury stock</w:t>
            </w:r>
          </w:p>
        </w:tc>
        <w:tc>
          <w:tcPr>
            <w:tcW w:w="100" w:type="dxa"/>
            <w:vAlign w:val="bottom"/>
          </w:tcPr>
          <w:p>
            <w:pPr>
              <w:spacing w:after="0"/>
              <w:rPr>
                <w:sz w:val="16"/>
                <w:szCs w:val="16"/>
                <w:color w:val="auto"/>
              </w:rPr>
            </w:pPr>
          </w:p>
        </w:tc>
        <w:tc>
          <w:tcPr>
            <w:tcW w:w="8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(167,118)</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(167,118)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(167,118)</w:t>
            </w:r>
          </w:p>
        </w:tc>
        <w:tc>
          <w:tcPr>
            <w:tcW w:w="0" w:type="dxa"/>
            <w:vAlign w:val="bottom"/>
          </w:tcPr>
          <w:p>
            <w:pPr>
              <w:spacing w:after="0"/>
              <w:rPr>
                <w:sz w:val="1"/>
                <w:szCs w:val="1"/>
                <w:color w:val="auto"/>
              </w:rPr>
            </w:pPr>
          </w:p>
        </w:tc>
      </w:tr>
      <w:tr>
        <w:trPr>
          <w:trHeight w:val="210"/>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 of Angi Inc. treasury stock</w:t>
            </w:r>
          </w:p>
        </w:tc>
        <w:tc>
          <w:tcPr>
            <w:tcW w:w="10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(11,099)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(11,099)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(11,099)</w:t>
            </w:r>
          </w:p>
        </w:tc>
        <w:tc>
          <w:tcPr>
            <w:tcW w:w="0" w:type="dxa"/>
            <w:vAlign w:val="bottom"/>
          </w:tcPr>
          <w:p>
            <w:pPr>
              <w:spacing w:after="0"/>
              <w:rPr>
                <w:sz w:val="1"/>
                <w:szCs w:val="1"/>
                <w:color w:val="auto"/>
              </w:rPr>
            </w:pPr>
          </w:p>
        </w:tc>
      </w:tr>
      <w:tr>
        <w:trPr>
          <w:trHeight w:val="135"/>
        </w:trPr>
        <w:tc>
          <w:tcPr>
            <w:tcW w:w="216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Adjustment of noncontrolling</w:t>
            </w:r>
          </w:p>
        </w:tc>
        <w:tc>
          <w:tcPr>
            <w:tcW w:w="10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7,567</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(7,567)</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(7,567)</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(7,567)</w:t>
            </w:r>
          </w:p>
        </w:tc>
        <w:tc>
          <w:tcPr>
            <w:tcW w:w="0" w:type="dxa"/>
            <w:vAlign w:val="bottom"/>
          </w:tcPr>
          <w:p>
            <w:pPr>
              <w:spacing w:after="0"/>
              <w:rPr>
                <w:sz w:val="1"/>
                <w:szCs w:val="1"/>
                <w:color w:val="auto"/>
              </w:rPr>
            </w:pPr>
          </w:p>
        </w:tc>
      </w:tr>
      <w:tr>
        <w:trPr>
          <w:trHeight w:val="195"/>
        </w:trPr>
        <w:tc>
          <w:tcPr>
            <w:tcW w:w="2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interests to redemption amount</w:t>
            </w:r>
          </w:p>
        </w:tc>
        <w:tc>
          <w:tcPr>
            <w:tcW w:w="1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1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Adjustment to the liquidation value</w:t>
            </w:r>
          </w:p>
        </w:tc>
        <w:tc>
          <w:tcPr>
            <w:tcW w:w="100" w:type="dxa"/>
            <w:vAlign w:val="bottom"/>
            <w:shd w:val="clear" w:color="auto" w:fill="CCEEFF"/>
          </w:tcPr>
          <w:p>
            <w:pPr>
              <w:spacing w:after="0"/>
              <w:rPr>
                <w:sz w:val="12"/>
                <w:szCs w:val="12"/>
                <w:color w:val="auto"/>
              </w:rPr>
            </w:pPr>
          </w:p>
        </w:tc>
        <w:tc>
          <w:tcPr>
            <w:tcW w:w="80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5,527</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5,527</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(5,527)</w:t>
            </w: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of Vivian Health preferred shares</w:t>
            </w:r>
          </w:p>
        </w:tc>
        <w:tc>
          <w:tcPr>
            <w:tcW w:w="100" w:type="dxa"/>
            <w:vAlign w:val="bottom"/>
            <w:shd w:val="clear" w:color="auto" w:fill="CCEEFF"/>
          </w:tcPr>
          <w:p>
            <w:pPr>
              <w:spacing w:after="0"/>
              <w:rPr>
                <w:sz w:val="17"/>
                <w:szCs w:val="17"/>
                <w:color w:val="auto"/>
              </w:rPr>
            </w:pPr>
          </w:p>
        </w:tc>
        <w:tc>
          <w:tcPr>
            <w:tcW w:w="800" w:type="dxa"/>
            <w:vAlign w:val="bottom"/>
            <w:tcBorders>
              <w:right w:val="single" w:sz="8" w:color="auto"/>
            </w:tcBorders>
            <w:gridSpan w:val="2"/>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gridSpan w:val="2"/>
            <w:vMerge w:val="continue"/>
            <w:shd w:val="clear" w:color="auto" w:fill="CCEEFF"/>
          </w:tcPr>
          <w:p>
            <w:pPr>
              <w:spacing w:after="0"/>
              <w:rPr>
                <w:sz w:val="17"/>
                <w:szCs w:val="17"/>
                <w:color w:val="auto"/>
              </w:rPr>
            </w:pPr>
          </w:p>
        </w:tc>
        <w:tc>
          <w:tcPr>
            <w:tcW w:w="6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0" w:type="dxa"/>
            <w:vAlign w:val="bottom"/>
          </w:tcPr>
          <w:p>
            <w:pPr>
              <w:spacing w:after="0"/>
              <w:rPr>
                <w:sz w:val="1"/>
                <w:szCs w:val="1"/>
                <w:color w:val="auto"/>
              </w:rPr>
            </w:pPr>
          </w:p>
        </w:tc>
      </w:tr>
      <w:tr>
        <w:trPr>
          <w:trHeight w:val="228"/>
        </w:trPr>
        <w:tc>
          <w:tcPr>
            <w:tcW w:w="2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33,378</w:t>
            </w:r>
          </w:p>
        </w:tc>
        <w:tc>
          <w:tcPr>
            <w:tcW w:w="100" w:type="dxa"/>
            <w:vAlign w:val="bottom"/>
            <w:tcBorders>
              <w:top w:val="single" w:sz="8" w:color="CCEEFF"/>
              <w:bottom w:val="single" w:sz="8" w:color="CCEEFF"/>
              <w:right w:val="single" w:sz="8" w:color="auto"/>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84,465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$ 6,340,312</w:t>
            </w:r>
          </w:p>
        </w:tc>
        <w:tc>
          <w:tcPr>
            <w:tcW w:w="80" w:type="dxa"/>
            <w:vAlign w:val="bottom"/>
            <w:tcBorders>
              <w:top w:val="single" w:sz="8" w:color="CCEEFF"/>
              <w:bottom w:val="single" w:sz="8" w:color="auto"/>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(10,942)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(252,441)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$ 6,077,861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677,142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$ 6,755,003</w:t>
            </w:r>
          </w:p>
        </w:tc>
        <w:tc>
          <w:tcPr>
            <w:tcW w:w="0" w:type="dxa"/>
            <w:vAlign w:val="bottom"/>
          </w:tcPr>
          <w:p>
            <w:pPr>
              <w:spacing w:after="0"/>
              <w:rPr>
                <w:sz w:val="1"/>
                <w:szCs w:val="1"/>
                <w:color w:val="auto"/>
              </w:rPr>
            </w:pP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The accompanying </w:t>
      </w:r>
      <w:r>
        <w:rPr>
          <w:rFonts w:ascii="Times New Roman" w:cs="Times New Roman" w:eastAsia="Times New Roman" w:hAnsi="Times New Roman"/>
          <w:sz w:val="18"/>
          <w:szCs w:val="18"/>
          <w:u w:val="single" w:color="auto"/>
          <w:color w:val="0000FF"/>
        </w:rPr>
        <w:t>Notes to Consolidated Financial Statements</w:t>
      </w:r>
      <w:r>
        <w:rPr>
          <w:rFonts w:ascii="Times New Roman" w:cs="Times New Roman" w:eastAsia="Times New Roman" w:hAnsi="Times New Roman"/>
          <w:sz w:val="18"/>
          <w:szCs w:val="18"/>
          <w:color w:val="auto"/>
        </w:rPr>
        <w:t xml:space="preserve"> are an integral part of these statements.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93" w:name="page94"/>
    <w:bookmarkEnd w:id="9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IAC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SHAREHOLDERS' EQUITY (CONTINUED)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4"/>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00" w:type="dxa"/>
            <w:vAlign w:val="bottom"/>
          </w:tcPr>
          <w:p>
            <w:pPr>
              <w:spacing w:after="0"/>
              <w:rPr>
                <w:sz w:val="17"/>
                <w:szCs w:val="17"/>
                <w:color w:val="auto"/>
              </w:rPr>
            </w:pPr>
          </w:p>
        </w:tc>
        <w:tc>
          <w:tcPr>
            <w:tcW w:w="1040" w:type="dxa"/>
            <w:vAlign w:val="bottom"/>
            <w:gridSpan w:val="5"/>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8"/>
              </w:rPr>
              <w:t>Class B Common</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Retained</w:t>
            </w:r>
          </w:p>
        </w:tc>
        <w:tc>
          <w:tcPr>
            <w:tcW w:w="100" w:type="dxa"/>
            <w:vAlign w:val="bottom"/>
          </w:tcPr>
          <w:p>
            <w:pPr>
              <w:spacing w:after="0"/>
              <w:rPr>
                <w:sz w:val="17"/>
                <w:szCs w:val="17"/>
                <w:color w:val="auto"/>
              </w:rPr>
            </w:pPr>
          </w:p>
        </w:tc>
        <w:tc>
          <w:tcPr>
            <w:tcW w:w="8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Borders>
              <w:right w:val="single" w:sz="8" w:color="auto"/>
            </w:tcBorders>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Redeemable</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gridSpan w:val="5"/>
          </w:tcPr>
          <w:p>
            <w:pPr>
              <w:jc w:val="center"/>
              <w:ind w:right="180"/>
              <w:spacing w:after="0" w:line="108" w:lineRule="exact"/>
              <w:rPr>
                <w:sz w:val="20"/>
                <w:szCs w:val="20"/>
                <w:color w:val="auto"/>
              </w:rPr>
            </w:pPr>
            <w:r>
              <w:rPr>
                <w:rFonts w:ascii="Times New Roman" w:cs="Times New Roman" w:eastAsia="Times New Roman" w:hAnsi="Times New Roman"/>
                <w:sz w:val="11"/>
                <w:szCs w:val="11"/>
                <w:b w:val="1"/>
                <w:bCs w:val="1"/>
                <w:color w:val="auto"/>
                <w:w w:val="99"/>
              </w:rPr>
              <w:t>Stock, $0.0001 par</w:t>
            </w:r>
          </w:p>
        </w:tc>
        <w:tc>
          <w:tcPr>
            <w:tcW w:w="8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5"/>
              </w:rPr>
              <w:t>Additional</w:t>
            </w:r>
          </w:p>
        </w:tc>
        <w:tc>
          <w:tcPr>
            <w:tcW w:w="14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5"/>
              </w:rPr>
              <w:t>Total IAC</w:t>
            </w: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08"/>
        </w:trPr>
        <w:tc>
          <w:tcPr>
            <w:tcW w:w="2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Borders>
              <w:right w:val="single" w:sz="8" w:color="auto"/>
            </w:tcBorders>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4"/>
          </w:tcPr>
          <w:p>
            <w:pPr>
              <w:jc w:val="right"/>
              <w:ind w:right="180"/>
              <w:spacing w:after="0" w:line="108" w:lineRule="exact"/>
              <w:rPr>
                <w:sz w:val="20"/>
                <w:szCs w:val="20"/>
                <w:color w:val="auto"/>
              </w:rPr>
            </w:pPr>
            <w:r>
              <w:rPr>
                <w:rFonts w:ascii="Times New Roman" w:cs="Times New Roman" w:eastAsia="Times New Roman" w:hAnsi="Times New Roman"/>
                <w:sz w:val="11"/>
                <w:szCs w:val="11"/>
                <w:b w:val="1"/>
                <w:bCs w:val="1"/>
                <w:color w:val="auto"/>
                <w:w w:val="98"/>
              </w:rPr>
              <w:t>$0.0001 par value</w:t>
            </w: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gridSpan w:val="4"/>
          </w:tcPr>
          <w:p>
            <w:pPr>
              <w:jc w:val="center"/>
              <w:ind w:right="440"/>
              <w:spacing w:after="0" w:line="108" w:lineRule="exact"/>
              <w:rPr>
                <w:sz w:val="20"/>
                <w:szCs w:val="20"/>
                <w:color w:val="auto"/>
              </w:rPr>
            </w:pPr>
            <w:r>
              <w:rPr>
                <w:rFonts w:ascii="Times New Roman" w:cs="Times New Roman" w:eastAsia="Times New Roman" w:hAnsi="Times New Roman"/>
                <w:sz w:val="11"/>
                <w:szCs w:val="11"/>
                <w:b w:val="1"/>
                <w:bCs w:val="1"/>
                <w:color w:val="auto"/>
                <w:w w:val="95"/>
              </w:rPr>
              <w:t>value</w:t>
            </w:r>
          </w:p>
        </w:tc>
        <w:tc>
          <w:tcPr>
            <w:tcW w:w="8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gridSpan w:val="2"/>
          </w:tcPr>
          <w:p>
            <w:pPr>
              <w:ind w:left="40"/>
              <w:spacing w:after="0" w:line="108" w:lineRule="exact"/>
              <w:rPr>
                <w:sz w:val="20"/>
                <w:szCs w:val="20"/>
                <w:color w:val="auto"/>
              </w:rPr>
            </w:pPr>
            <w:r>
              <w:rPr>
                <w:rFonts w:ascii="Times New Roman" w:cs="Times New Roman" w:eastAsia="Times New Roman" w:hAnsi="Times New Roman"/>
                <w:sz w:val="11"/>
                <w:szCs w:val="11"/>
                <w:b w:val="1"/>
                <w:bCs w:val="1"/>
                <w:color w:val="auto"/>
              </w:rPr>
              <w:t>Earnings</w:t>
            </w:r>
          </w:p>
        </w:tc>
        <w:tc>
          <w:tcPr>
            <w:tcW w:w="100" w:type="dxa"/>
            <w:vAlign w:val="bottom"/>
          </w:tcPr>
          <w:p>
            <w:pPr>
              <w:spacing w:after="0"/>
              <w:rPr>
                <w:sz w:val="9"/>
                <w:szCs w:val="9"/>
                <w:color w:val="auto"/>
              </w:rPr>
            </w:pPr>
          </w:p>
        </w:tc>
        <w:tc>
          <w:tcPr>
            <w:tcW w:w="800" w:type="dxa"/>
            <w:vAlign w:val="bottom"/>
            <w:gridSpan w:val="2"/>
          </w:tcPr>
          <w:p>
            <w:pPr>
              <w:jc w:val="center"/>
              <w:ind w:right="160"/>
              <w:spacing w:after="0" w:line="108"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160" w:type="dxa"/>
            <w:vAlign w:val="bottom"/>
          </w:tcPr>
          <w:p>
            <w:pPr>
              <w:spacing w:after="0"/>
              <w:rPr>
                <w:sz w:val="4"/>
                <w:szCs w:val="4"/>
                <w:color w:val="auto"/>
              </w:rPr>
            </w:pPr>
          </w:p>
        </w:tc>
        <w:tc>
          <w:tcPr>
            <w:tcW w:w="900" w:type="dxa"/>
            <w:vAlign w:val="bottom"/>
            <w:tcBorders>
              <w:right w:val="single" w:sz="8" w:color="auto"/>
            </w:tcBorders>
            <w:gridSpan w:val="3"/>
            <w:vMerge w:val="restart"/>
          </w:tcPr>
          <w:p>
            <w:pPr>
              <w:jc w:val="center"/>
              <w:ind w:right="100"/>
              <w:spacing w:after="0" w:line="108" w:lineRule="exact"/>
              <w:rPr>
                <w:sz w:val="20"/>
                <w:szCs w:val="20"/>
                <w:color w:val="auto"/>
              </w:rPr>
            </w:pPr>
            <w:r>
              <w:rPr>
                <w:rFonts w:ascii="Times New Roman" w:cs="Times New Roman" w:eastAsia="Times New Roman" w:hAnsi="Times New Roman"/>
                <w:sz w:val="11"/>
                <w:szCs w:val="11"/>
                <w:b w:val="1"/>
                <w:bCs w:val="1"/>
                <w:color w:val="auto"/>
                <w:w w:val="95"/>
              </w:rPr>
              <w:t>Noncontrolling</w:t>
            </w:r>
          </w:p>
        </w:tc>
        <w:tc>
          <w:tcPr>
            <w:tcW w:w="60" w:type="dxa"/>
            <w:vAlign w:val="bottom"/>
            <w:vMerge w:val="restart"/>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gridSpan w:val="2"/>
            <w:vMerge w:val="restart"/>
          </w:tcPr>
          <w:p>
            <w:pPr>
              <w:jc w:val="center"/>
              <w:ind w:right="80"/>
              <w:spacing w:after="0" w:line="108" w:lineRule="exact"/>
              <w:rPr>
                <w:sz w:val="20"/>
                <w:szCs w:val="20"/>
                <w:color w:val="auto"/>
              </w:rPr>
            </w:pPr>
            <w:r>
              <w:rPr>
                <w:rFonts w:ascii="Times New Roman" w:cs="Times New Roman" w:eastAsia="Times New Roman" w:hAnsi="Times New Roman"/>
                <w:sz w:val="11"/>
                <w:szCs w:val="11"/>
                <w:b w:val="1"/>
                <w:bCs w:val="1"/>
                <w:color w:val="auto"/>
                <w:w w:val="93"/>
              </w:rPr>
              <w:t>Paid-in</w:t>
            </w:r>
          </w:p>
        </w:tc>
        <w:tc>
          <w:tcPr>
            <w:tcW w:w="860" w:type="dxa"/>
            <w:vAlign w:val="bottom"/>
            <w:gridSpan w:val="3"/>
            <w:vMerge w:val="restart"/>
          </w:tcPr>
          <w:p>
            <w:pPr>
              <w:ind w:left="60"/>
              <w:spacing w:after="0" w:line="108"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900" w:type="dxa"/>
            <w:vAlign w:val="bottom"/>
            <w:gridSpan w:val="3"/>
            <w:vMerge w:val="restart"/>
          </w:tcPr>
          <w:p>
            <w:pPr>
              <w:jc w:val="center"/>
              <w:ind w:right="60"/>
              <w:spacing w:after="0" w:line="108" w:lineRule="exact"/>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780" w:type="dxa"/>
            <w:vAlign w:val="bottom"/>
            <w:gridSpan w:val="2"/>
            <w:vMerge w:val="restart"/>
          </w:tcPr>
          <w:p>
            <w:pPr>
              <w:jc w:val="center"/>
              <w:ind w:right="80"/>
              <w:spacing w:after="0" w:line="108" w:lineRule="exact"/>
              <w:rPr>
                <w:sz w:val="20"/>
                <w:szCs w:val="20"/>
                <w:color w:val="auto"/>
              </w:rPr>
            </w:pPr>
            <w:r>
              <w:rPr>
                <w:rFonts w:ascii="Times New Roman" w:cs="Times New Roman" w:eastAsia="Times New Roman" w:hAnsi="Times New Roman"/>
                <w:sz w:val="11"/>
                <w:szCs w:val="11"/>
                <w:b w:val="1"/>
                <w:bCs w:val="1"/>
                <w:color w:val="auto"/>
                <w:w w:val="96"/>
              </w:rPr>
              <w:t>Treasury</w:t>
            </w:r>
          </w:p>
        </w:tc>
        <w:tc>
          <w:tcPr>
            <w:tcW w:w="860" w:type="dxa"/>
            <w:vAlign w:val="bottom"/>
            <w:gridSpan w:val="2"/>
            <w:vMerge w:val="restart"/>
          </w:tcPr>
          <w:p>
            <w:pPr>
              <w:jc w:val="center"/>
              <w:ind w:right="60"/>
              <w:spacing w:after="0" w:line="108" w:lineRule="exact"/>
              <w:rPr>
                <w:sz w:val="20"/>
                <w:szCs w:val="20"/>
                <w:color w:val="auto"/>
              </w:rPr>
            </w:pPr>
            <w:r>
              <w:rPr>
                <w:rFonts w:ascii="Times New Roman" w:cs="Times New Roman" w:eastAsia="Times New Roman" w:hAnsi="Times New Roman"/>
                <w:sz w:val="11"/>
                <w:szCs w:val="11"/>
                <w:b w:val="1"/>
                <w:bCs w:val="1"/>
                <w:color w:val="auto"/>
                <w:w w:val="97"/>
              </w:rPr>
              <w:t>Shareholders'</w:t>
            </w:r>
          </w:p>
        </w:tc>
        <w:tc>
          <w:tcPr>
            <w:tcW w:w="860" w:type="dxa"/>
            <w:vAlign w:val="bottom"/>
            <w:gridSpan w:val="3"/>
            <w:vMerge w:val="restart"/>
          </w:tcPr>
          <w:p>
            <w:pPr>
              <w:jc w:val="center"/>
              <w:ind w:right="80"/>
              <w:spacing w:after="0" w:line="108" w:lineRule="exact"/>
              <w:rPr>
                <w:sz w:val="20"/>
                <w:szCs w:val="20"/>
                <w:color w:val="auto"/>
              </w:rPr>
            </w:pPr>
            <w:r>
              <w:rPr>
                <w:rFonts w:ascii="Times New Roman" w:cs="Times New Roman" w:eastAsia="Times New Roman" w:hAnsi="Times New Roman"/>
                <w:sz w:val="11"/>
                <w:szCs w:val="11"/>
                <w:b w:val="1"/>
                <w:bCs w:val="1"/>
                <w:color w:val="auto"/>
                <w:w w:val="98"/>
              </w:rPr>
              <w:t>Noncontrolling</w:t>
            </w:r>
          </w:p>
        </w:tc>
        <w:tc>
          <w:tcPr>
            <w:tcW w:w="760" w:type="dxa"/>
            <w:vAlign w:val="bottom"/>
            <w:vMerge w:val="restart"/>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7"/>
              </w:rPr>
              <w:t>Shareholders'</w:t>
            </w:r>
          </w:p>
        </w:tc>
        <w:tc>
          <w:tcPr>
            <w:tcW w:w="0" w:type="dxa"/>
            <w:vAlign w:val="bottom"/>
          </w:tcPr>
          <w:p>
            <w:pPr>
              <w:spacing w:after="0"/>
              <w:rPr>
                <w:sz w:val="1"/>
                <w:szCs w:val="1"/>
                <w:color w:val="auto"/>
              </w:rPr>
            </w:pPr>
          </w:p>
        </w:tc>
      </w:tr>
      <w:tr>
        <w:trPr>
          <w:trHeight w:val="34"/>
        </w:trPr>
        <w:tc>
          <w:tcPr>
            <w:tcW w:w="2160" w:type="dxa"/>
            <w:vAlign w:val="bottom"/>
          </w:tcPr>
          <w:p>
            <w:pPr>
              <w:spacing w:after="0"/>
              <w:rPr>
                <w:sz w:val="2"/>
                <w:szCs w:val="2"/>
                <w:color w:val="auto"/>
              </w:rPr>
            </w:pPr>
          </w:p>
        </w:tc>
        <w:tc>
          <w:tcPr>
            <w:tcW w:w="900" w:type="dxa"/>
            <w:vAlign w:val="bottom"/>
            <w:tcBorders>
              <w:right w:val="single" w:sz="8" w:color="auto"/>
            </w:tcBorders>
            <w:gridSpan w:val="3"/>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vMerge w:val="restart"/>
          </w:tcPr>
          <w:p>
            <w:pPr>
              <w:jc w:val="right"/>
              <w:ind w:right="112"/>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2"/>
                <w:szCs w:val="2"/>
                <w:color w:val="auto"/>
              </w:rPr>
            </w:pPr>
          </w:p>
        </w:tc>
        <w:tc>
          <w:tcPr>
            <w:tcW w:w="6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Pr>
          <w:p>
            <w:pPr>
              <w:spacing w:after="0"/>
              <w:rPr>
                <w:sz w:val="2"/>
                <w:szCs w:val="2"/>
                <w:color w:val="auto"/>
              </w:rPr>
            </w:pPr>
          </w:p>
        </w:tc>
        <w:tc>
          <w:tcPr>
            <w:tcW w:w="280" w:type="dxa"/>
            <w:vAlign w:val="bottom"/>
            <w:vMerge w:val="restart"/>
          </w:tcPr>
          <w:p>
            <w:pPr>
              <w:jc w:val="right"/>
              <w:ind w:right="72"/>
              <w:spacing w:after="0"/>
              <w:rPr>
                <w:sz w:val="20"/>
                <w:szCs w:val="20"/>
                <w:color w:val="auto"/>
              </w:rPr>
            </w:pPr>
            <w:r>
              <w:rPr>
                <w:rFonts w:ascii="Times New Roman" w:cs="Times New Roman" w:eastAsia="Times New Roman" w:hAnsi="Times New Roman"/>
                <w:sz w:val="11"/>
                <w:szCs w:val="11"/>
                <w:b w:val="1"/>
                <w:bCs w:val="1"/>
                <w:color w:val="auto"/>
              </w:rPr>
              <w:t>$</w:t>
            </w: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840" w:type="dxa"/>
            <w:vAlign w:val="bottom"/>
            <w:gridSpan w:val="2"/>
            <w:vMerge w:val="continue"/>
          </w:tcPr>
          <w:p>
            <w:pPr>
              <w:spacing w:after="0"/>
              <w:rPr>
                <w:sz w:val="2"/>
                <w:szCs w:val="2"/>
                <w:color w:val="auto"/>
              </w:rPr>
            </w:pPr>
          </w:p>
        </w:tc>
        <w:tc>
          <w:tcPr>
            <w:tcW w:w="860" w:type="dxa"/>
            <w:vAlign w:val="bottom"/>
            <w:gridSpan w:val="3"/>
            <w:vMerge w:val="continue"/>
          </w:tcPr>
          <w:p>
            <w:pPr>
              <w:spacing w:after="0"/>
              <w:rPr>
                <w:sz w:val="2"/>
                <w:szCs w:val="2"/>
                <w:color w:val="auto"/>
              </w:rPr>
            </w:pPr>
          </w:p>
        </w:tc>
        <w:tc>
          <w:tcPr>
            <w:tcW w:w="900" w:type="dxa"/>
            <w:vAlign w:val="bottom"/>
            <w:gridSpan w:val="3"/>
            <w:vMerge w:val="continue"/>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860" w:type="dxa"/>
            <w:vAlign w:val="bottom"/>
            <w:gridSpan w:val="3"/>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2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Borders>
              <w:right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Interests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40" w:type="dxa"/>
            <w:vAlign w:val="bottom"/>
          </w:tcPr>
          <w:p>
            <w:pPr>
              <w:spacing w:after="0"/>
              <w:rPr>
                <w:sz w:val="13"/>
                <w:szCs w:val="13"/>
                <w:color w:val="auto"/>
              </w:rPr>
            </w:pPr>
          </w:p>
        </w:tc>
        <w:tc>
          <w:tcPr>
            <w:tcW w:w="72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00" w:type="dxa"/>
            <w:vAlign w:val="bottom"/>
          </w:tcPr>
          <w:p>
            <w:pPr>
              <w:spacing w:after="0"/>
              <w:rPr>
                <w:sz w:val="13"/>
                <w:szCs w:val="13"/>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Loss</w:t>
            </w: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140" w:type="dxa"/>
            <w:vAlign w:val="bottom"/>
          </w:tcPr>
          <w:p>
            <w:pPr>
              <w:spacing w:after="0"/>
              <w:rPr>
                <w:sz w:val="13"/>
                <w:szCs w:val="13"/>
                <w:color w:val="auto"/>
              </w:rPr>
            </w:pPr>
          </w:p>
        </w:tc>
        <w:tc>
          <w:tcPr>
            <w:tcW w:w="7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7"/>
              </w:rPr>
              <w:t>Interests</w:t>
            </w: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52"/>
        </w:trPr>
        <w:tc>
          <w:tcPr>
            <w:tcW w:w="21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620" w:type="dxa"/>
            <w:vAlign w:val="bottom"/>
            <w:tcBorders>
              <w:top w:val="single" w:sz="8" w:color="auto"/>
            </w:tcBorders>
            <w:gridSpan w:val="5"/>
          </w:tcPr>
          <w:p>
            <w:pPr>
              <w:ind w:left="48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7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33,378</w:t>
            </w: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84,465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5,789</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$ 6,340,312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(10,942)</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 (252,441)</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$ 6,077,861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677,142</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$ 6,755,003</w:t>
            </w:r>
          </w:p>
        </w:tc>
        <w:tc>
          <w:tcPr>
            <w:tcW w:w="0" w:type="dxa"/>
            <w:vAlign w:val="bottom"/>
          </w:tcPr>
          <w:p>
            <w:pPr>
              <w:spacing w:after="0"/>
              <w:rPr>
                <w:sz w:val="1"/>
                <w:szCs w:val="1"/>
                <w:color w:val="auto"/>
              </w:rPr>
            </w:pPr>
          </w:p>
        </w:tc>
      </w:tr>
      <w:tr>
        <w:trPr>
          <w:trHeight w:val="206"/>
        </w:trPr>
        <w:tc>
          <w:tcPr>
            <w:tcW w:w="2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earnings (loss)</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w:t>
            </w: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(539,897)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(539,897)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5,980</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(533,917)</w:t>
            </w:r>
          </w:p>
        </w:tc>
        <w:tc>
          <w:tcPr>
            <w:tcW w:w="0" w:type="dxa"/>
            <w:vAlign w:val="bottom"/>
          </w:tcPr>
          <w:p>
            <w:pPr>
              <w:spacing w:after="0"/>
              <w:rPr>
                <w:sz w:val="1"/>
                <w:szCs w:val="1"/>
                <w:color w:val="auto"/>
              </w:rPr>
            </w:pPr>
          </w:p>
        </w:tc>
      </w:tr>
      <w:tr>
        <w:trPr>
          <w:trHeight w:val="23"/>
        </w:trPr>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 net of</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taxes</w:t>
            </w: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w:t>
            </w:r>
          </w:p>
        </w:tc>
        <w:tc>
          <w:tcPr>
            <w:tcW w:w="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w:t>
            </w: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(877)</w:t>
            </w:r>
          </w:p>
        </w:tc>
        <w:tc>
          <w:tcPr>
            <w:tcW w:w="0" w:type="dxa"/>
            <w:vAlign w:val="bottom"/>
          </w:tcPr>
          <w:p>
            <w:pPr>
              <w:spacing w:after="0"/>
              <w:rPr>
                <w:sz w:val="1"/>
                <w:szCs w:val="1"/>
                <w:color w:val="auto"/>
              </w:rPr>
            </w:pPr>
          </w:p>
        </w:tc>
      </w:tr>
      <w:tr>
        <w:trPr>
          <w:trHeight w:val="206"/>
        </w:trPr>
        <w:tc>
          <w:tcPr>
            <w:tcW w:w="2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0" w:type="dxa"/>
            <w:vAlign w:val="bottom"/>
          </w:tcPr>
          <w:p>
            <w:pPr>
              <w:spacing w:after="0"/>
              <w:rPr>
                <w:sz w:val="17"/>
                <w:szCs w:val="17"/>
                <w:color w:val="auto"/>
              </w:rPr>
            </w:pPr>
          </w:p>
        </w:tc>
        <w:tc>
          <w:tcPr>
            <w:tcW w:w="8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77,745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77,745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40,619</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118,364</w:t>
            </w:r>
          </w:p>
        </w:tc>
        <w:tc>
          <w:tcPr>
            <w:tcW w:w="0" w:type="dxa"/>
            <w:vAlign w:val="bottom"/>
          </w:tcPr>
          <w:p>
            <w:pPr>
              <w:spacing w:after="0"/>
              <w:rPr>
                <w:sz w:val="1"/>
                <w:szCs w:val="1"/>
                <w:color w:val="auto"/>
              </w:rPr>
            </w:pPr>
          </w:p>
        </w:tc>
      </w:tr>
      <w:tr>
        <w:trPr>
          <w:trHeight w:val="23"/>
        </w:trPr>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pursuant</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 stock-based awards, net of</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withholding taxes</w:t>
            </w: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(14,845)</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(14,845)</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(14,845)</w:t>
            </w:r>
          </w:p>
        </w:tc>
        <w:tc>
          <w:tcPr>
            <w:tcW w:w="0" w:type="dxa"/>
            <w:vAlign w:val="bottom"/>
          </w:tcPr>
          <w:p>
            <w:pPr>
              <w:spacing w:after="0"/>
              <w:rPr>
                <w:sz w:val="1"/>
                <w:szCs w:val="1"/>
                <w:color w:val="auto"/>
              </w:rPr>
            </w:pPr>
          </w:p>
        </w:tc>
      </w:tr>
      <w:tr>
        <w:trPr>
          <w:trHeight w:val="180"/>
        </w:trPr>
        <w:tc>
          <w:tcPr>
            <w:tcW w:w="2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Angi Inc. common stock</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pursuant to stock-based awards, net</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of withholding taxes</w:t>
            </w:r>
          </w:p>
        </w:tc>
        <w:tc>
          <w:tcPr>
            <w:tcW w:w="100" w:type="dxa"/>
            <w:vAlign w:val="bottom"/>
          </w:tcPr>
          <w:p>
            <w:pPr>
              <w:spacing w:after="0"/>
              <w:rPr>
                <w:sz w:val="17"/>
                <w:szCs w:val="17"/>
                <w:color w:val="auto"/>
              </w:rPr>
            </w:pPr>
          </w:p>
        </w:tc>
        <w:tc>
          <w:tcPr>
            <w:tcW w:w="8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7"/>
                <w:szCs w:val="17"/>
                <w:color w:val="auto"/>
              </w:rPr>
            </w:pP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(11,377)</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(7,353)</w:t>
            </w:r>
          </w:p>
        </w:tc>
        <w:tc>
          <w:tcPr>
            <w:tcW w:w="0" w:type="dxa"/>
            <w:vAlign w:val="bottom"/>
          </w:tcPr>
          <w:p>
            <w:pPr>
              <w:spacing w:after="0"/>
              <w:rPr>
                <w:sz w:val="1"/>
                <w:szCs w:val="1"/>
                <w:color w:val="auto"/>
              </w:rPr>
            </w:pPr>
          </w:p>
        </w:tc>
      </w:tr>
      <w:tr>
        <w:trPr>
          <w:trHeight w:val="23"/>
        </w:trPr>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 of Angi Inc. treasury stock</w:t>
            </w:r>
          </w:p>
        </w:tc>
        <w:tc>
          <w:tcPr>
            <w:tcW w:w="100" w:type="dxa"/>
            <w:vAlign w:val="bottom"/>
            <w:shd w:val="clear" w:color="auto" w:fill="CCEEFF"/>
          </w:tcPr>
          <w:p>
            <w:pPr>
              <w:spacing w:after="0"/>
              <w:rPr>
                <w:sz w:val="17"/>
                <w:szCs w:val="17"/>
                <w:color w:val="auto"/>
              </w:rPr>
            </w:pPr>
          </w:p>
        </w:tc>
        <w:tc>
          <w:tcPr>
            <w:tcW w:w="80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(28,581)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(28,581)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(28,581)</w:t>
            </w:r>
          </w:p>
        </w:tc>
        <w:tc>
          <w:tcPr>
            <w:tcW w:w="0" w:type="dxa"/>
            <w:vAlign w:val="bottom"/>
          </w:tcPr>
          <w:p>
            <w:pPr>
              <w:spacing w:after="0"/>
              <w:rPr>
                <w:sz w:val="1"/>
                <w:szCs w:val="1"/>
                <w:color w:val="auto"/>
              </w:rPr>
            </w:pPr>
          </w:p>
        </w:tc>
      </w:tr>
      <w:tr>
        <w:trPr>
          <w:trHeight w:val="195"/>
        </w:trPr>
        <w:tc>
          <w:tcPr>
            <w:tcW w:w="2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 of noncontrolling interests</w:t>
            </w:r>
          </w:p>
        </w:tc>
        <w:tc>
          <w:tcPr>
            <w:tcW w:w="100" w:type="dxa"/>
            <w:vAlign w:val="bottom"/>
          </w:tcPr>
          <w:p>
            <w:pPr>
              <w:spacing w:after="0"/>
              <w:rPr>
                <w:sz w:val="16"/>
                <w:szCs w:val="16"/>
                <w:color w:val="auto"/>
              </w:rPr>
            </w:pPr>
          </w:p>
        </w:tc>
        <w:tc>
          <w:tcPr>
            <w:tcW w:w="8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(11,296)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(11,296)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(4,723)</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(16,019)</w:t>
            </w:r>
          </w:p>
        </w:tc>
        <w:tc>
          <w:tcPr>
            <w:tcW w:w="0" w:type="dxa"/>
            <w:vAlign w:val="bottom"/>
          </w:tcPr>
          <w:p>
            <w:pPr>
              <w:spacing w:after="0"/>
              <w:rPr>
                <w:sz w:val="1"/>
                <w:szCs w:val="1"/>
                <w:color w:val="auto"/>
              </w:rPr>
            </w:pPr>
          </w:p>
        </w:tc>
      </w:tr>
      <w:tr>
        <w:trPr>
          <w:trHeight w:val="142"/>
        </w:trPr>
        <w:tc>
          <w:tcPr>
            <w:tcW w:w="21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Adjustment of noncontrolling</w:t>
            </w:r>
          </w:p>
        </w:tc>
        <w:tc>
          <w:tcPr>
            <w:tcW w:w="1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(6,970)</w:t>
            </w: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6,970</w:t>
            </w:r>
          </w:p>
        </w:tc>
        <w:tc>
          <w:tcPr>
            <w:tcW w:w="0" w:type="dxa"/>
            <w:vAlign w:val="bottom"/>
          </w:tcPr>
          <w:p>
            <w:pPr>
              <w:spacing w:after="0"/>
              <w:rPr>
                <w:sz w:val="1"/>
                <w:szCs w:val="1"/>
                <w:color w:val="auto"/>
              </w:rPr>
            </w:pPr>
          </w:p>
        </w:tc>
      </w:tr>
      <w:tr>
        <w:trPr>
          <w:trHeight w:val="203"/>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interests to redemption amount</w:t>
            </w:r>
          </w:p>
        </w:tc>
        <w:tc>
          <w:tcPr>
            <w:tcW w:w="10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gridSpan w:val="2"/>
            <w:vMerge w:val="continue"/>
            <w:shd w:val="clear" w:color="auto" w:fill="CCEEFF"/>
          </w:tcPr>
          <w:p>
            <w:pPr>
              <w:spacing w:after="0"/>
              <w:rPr>
                <w:sz w:val="17"/>
                <w:szCs w:val="17"/>
                <w:color w:val="auto"/>
              </w:rPr>
            </w:pPr>
          </w:p>
        </w:tc>
        <w:tc>
          <w:tcPr>
            <w:tcW w:w="6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Adjustment to the liquidation value</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of Vivian Health preferred shares</w:t>
            </w:r>
          </w:p>
        </w:tc>
        <w:tc>
          <w:tcPr>
            <w:tcW w:w="100" w:type="dxa"/>
            <w:vAlign w:val="bottom"/>
          </w:tcPr>
          <w:p>
            <w:pPr>
              <w:spacing w:after="0"/>
              <w:rPr>
                <w:sz w:val="17"/>
                <w:szCs w:val="17"/>
                <w:color w:val="auto"/>
              </w:rPr>
            </w:pPr>
          </w:p>
        </w:tc>
        <w:tc>
          <w:tcPr>
            <w:tcW w:w="8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6,154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6,154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(6,154)</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(1,580)</w:t>
            </w:r>
          </w:p>
        </w:tc>
        <w:tc>
          <w:tcPr>
            <w:tcW w:w="100" w:type="dxa"/>
            <w:vAlign w:val="bottom"/>
            <w:tcBorders>
              <w:bottom w:val="single" w:sz="8" w:color="CCEEFF"/>
              <w:right w:val="single" w:sz="8" w:color="auto"/>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0" w:type="dxa"/>
            <w:vAlign w:val="bottom"/>
          </w:tcPr>
          <w:p>
            <w:pPr>
              <w:spacing w:after="0"/>
              <w:rPr>
                <w:sz w:val="1"/>
                <w:szCs w:val="1"/>
                <w:color w:val="auto"/>
              </w:rPr>
            </w:pPr>
          </w:p>
        </w:tc>
      </w:tr>
      <w:tr>
        <w:trPr>
          <w:trHeight w:val="236"/>
        </w:trPr>
        <w:tc>
          <w:tcPr>
            <w:tcW w:w="2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25,415</w:t>
            </w:r>
          </w:p>
        </w:tc>
        <w:tc>
          <w:tcPr>
            <w:tcW w:w="1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84,831</w:t>
            </w: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tcBorders>
              <w:top w:val="single" w:sz="8" w:color="auto"/>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5,789</w:t>
            </w:r>
          </w:p>
        </w:tc>
        <w:tc>
          <w:tcPr>
            <w:tcW w:w="8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$ 6,380,700</w:t>
            </w:r>
          </w:p>
        </w:tc>
        <w:tc>
          <w:tcPr>
            <w:tcW w:w="8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(538,974)</w:t>
            </w: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(11,396)</w:t>
            </w:r>
          </w:p>
        </w:tc>
        <w:tc>
          <w:tcPr>
            <w:tcW w:w="8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 (252,441)</w:t>
            </w:r>
          </w:p>
        </w:tc>
        <w:tc>
          <w:tcPr>
            <w:tcW w:w="8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$ 5,577,898</w:t>
            </w:r>
          </w:p>
        </w:tc>
        <w:tc>
          <w:tcPr>
            <w:tcW w:w="8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701,075</w:t>
            </w:r>
          </w:p>
        </w:tc>
        <w:tc>
          <w:tcPr>
            <w:tcW w:w="10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$ 6,278,973</w:t>
            </w:r>
          </w:p>
        </w:tc>
        <w:tc>
          <w:tcPr>
            <w:tcW w:w="0" w:type="dxa"/>
            <w:vAlign w:val="bottom"/>
          </w:tcPr>
          <w:p>
            <w:pPr>
              <w:spacing w:after="0"/>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The accompanying </w:t>
      </w:r>
      <w:r>
        <w:rPr>
          <w:rFonts w:ascii="Times New Roman" w:cs="Times New Roman" w:eastAsia="Times New Roman" w:hAnsi="Times New Roman"/>
          <w:sz w:val="18"/>
          <w:szCs w:val="18"/>
          <w:u w:val="single" w:color="auto"/>
          <w:color w:val="0000FF"/>
        </w:rPr>
        <w:t>Notes to Consolidated Financial Statements</w:t>
      </w:r>
      <w:r>
        <w:rPr>
          <w:rFonts w:ascii="Times New Roman" w:cs="Times New Roman" w:eastAsia="Times New Roman" w:hAnsi="Times New Roman"/>
          <w:sz w:val="18"/>
          <w:szCs w:val="18"/>
          <w:color w:val="auto"/>
        </w:rPr>
        <w:t xml:space="preserve"> are an integral part of these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IAC INC. AND SUBSIDIARIES</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 OF CASH FLOWS</w:t>
      </w:r>
    </w:p>
    <w:p>
      <w:pPr>
        <w:spacing w:after="0" w:line="187" w:lineRule="exact"/>
        <w:rPr>
          <w:sz w:val="20"/>
          <w:szCs w:val="20"/>
          <w:color w:val="auto"/>
        </w:rPr>
      </w:pPr>
    </w:p>
    <w:p>
      <w:pPr>
        <w:ind w:left="8420"/>
        <w:spacing w:after="0"/>
        <w:rPr>
          <w:sz w:val="20"/>
          <w:szCs w:val="20"/>
          <w:color w:val="auto"/>
        </w:rPr>
      </w:pPr>
      <w:r>
        <w:rPr>
          <w:rFonts w:ascii="Times New Roman" w:cs="Times New Roman" w:eastAsia="Times New Roman" w:hAnsi="Times New Roman"/>
          <w:sz w:val="13"/>
          <w:szCs w:val="13"/>
          <w:b w:val="1"/>
          <w:bCs w:val="1"/>
          <w:color w:val="auto"/>
        </w:rPr>
        <w:t>Year Ended December 31,</w:t>
      </w:r>
    </w:p>
    <w:p>
      <w:pPr>
        <w:spacing w:after="0" w:line="17"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6980" w:type="dxa"/>
            <w:vAlign w:val="bottom"/>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477"/>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477"/>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Borders>
              <w:top w:val="single" w:sz="8" w:color="auto"/>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477"/>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69"/>
        </w:trPr>
        <w:tc>
          <w:tcPr>
            <w:tcW w:w="6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8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 attributable to continuing operations:</w:t>
            </w: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70"/>
        </w:trPr>
        <w:tc>
          <w:tcPr>
            <w:tcW w:w="6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 earnings</w:t>
            </w: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(533,330)</w:t>
            </w:r>
          </w:p>
        </w:tc>
        <w:tc>
          <w:tcPr>
            <w:tcW w:w="100" w:type="dxa"/>
            <w:vAlign w:val="bottom"/>
          </w:tcPr>
          <w:p>
            <w:pPr>
              <w:spacing w:after="0"/>
              <w:rPr>
                <w:sz w:val="14"/>
                <w:szCs w:val="14"/>
                <w:color w:val="auto"/>
              </w:rPr>
            </w:pP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258,317</w:t>
            </w:r>
          </w:p>
        </w:tc>
        <w:tc>
          <w:tcPr>
            <w:tcW w:w="100" w:type="dxa"/>
            <w:vAlign w:val="bottom"/>
          </w:tcPr>
          <w:p>
            <w:pPr>
              <w:spacing w:after="0"/>
              <w:rPr>
                <w:sz w:val="14"/>
                <w:szCs w:val="14"/>
                <w:color w:val="auto"/>
              </w:rPr>
            </w:pPr>
          </w:p>
        </w:tc>
        <w:tc>
          <w:tcPr>
            <w:tcW w:w="32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(1,192,455)</w:t>
            </w:r>
          </w:p>
        </w:tc>
      </w:tr>
      <w:tr>
        <w:trPr>
          <w:trHeight w:val="181"/>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Less: Earnings from discontinued operations, net of tax</w:t>
            </w:r>
          </w:p>
        </w:tc>
        <w:tc>
          <w:tcPr>
            <w:tcW w:w="3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2,694</w:t>
            </w:r>
          </w:p>
        </w:tc>
      </w:tr>
      <w:tr>
        <w:trPr>
          <w:trHeight w:val="163"/>
        </w:trPr>
        <w:tc>
          <w:tcPr>
            <w:tcW w:w="698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Net (loss) earnings attributable to continuing operations</w:t>
            </w:r>
          </w:p>
        </w:tc>
        <w:tc>
          <w:tcPr>
            <w:tcW w:w="3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(533,330)</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258,317</w:t>
            </w: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(1,195,149)</w:t>
            </w:r>
          </w:p>
        </w:tc>
      </w:tr>
      <w:tr>
        <w:trPr>
          <w:trHeight w:val="181"/>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Adjustments to reconcile net (loss) earnings to net cash provided by (used in) operating activities attributable to continuing operations:</w:t>
            </w: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70"/>
        </w:trPr>
        <w:tc>
          <w:tcPr>
            <w:tcW w:w="69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Unrealized loss (gain) on investment in MGM Resorts International</w:t>
            </w: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649,178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(721,668)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723,515</w:t>
            </w:r>
          </w:p>
        </w:tc>
      </w:tr>
      <w:tr>
        <w:trPr>
          <w:trHeight w:val="181"/>
        </w:trPr>
        <w:tc>
          <w:tcPr>
            <w:tcW w:w="6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Amortization of intangibles</w:t>
            </w: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144,506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295,970</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307,718</w:t>
            </w:r>
          </w:p>
        </w:tc>
      </w:tr>
      <w:tr>
        <w:trPr>
          <w:trHeight w:val="170"/>
        </w:trPr>
        <w:tc>
          <w:tcPr>
            <w:tcW w:w="69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Depreciation</w:t>
            </w: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126,890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175,096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130,986</w:t>
            </w:r>
          </w:p>
        </w:tc>
      </w:tr>
      <w:tr>
        <w:trPr>
          <w:trHeight w:val="181"/>
        </w:trPr>
        <w:tc>
          <w:tcPr>
            <w:tcW w:w="6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112,523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117,181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123,476</w:t>
            </w:r>
          </w:p>
        </w:tc>
      </w:tr>
      <w:tr>
        <w:trPr>
          <w:trHeight w:val="170"/>
        </w:trPr>
        <w:tc>
          <w:tcPr>
            <w:tcW w:w="69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Provision for credit losses</w:t>
            </w: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61,949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87,729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116,553</w:t>
            </w:r>
          </w:p>
        </w:tc>
      </w:tr>
      <w:tr>
        <w:trPr>
          <w:trHeight w:val="181"/>
        </w:trPr>
        <w:tc>
          <w:tcPr>
            <w:tcW w:w="6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Non-cash lease expense (including right-of-use asset impairments)</w:t>
            </w: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54,050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101,695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70,922</w:t>
            </w:r>
          </w:p>
        </w:tc>
      </w:tr>
      <w:tr>
        <w:trPr>
          <w:trHeight w:val="170"/>
        </w:trPr>
        <w:tc>
          <w:tcPr>
            <w:tcW w:w="69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Deferred income taxes</w:t>
            </w: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(181,037)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88,792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(337,758)</w:t>
            </w:r>
          </w:p>
        </w:tc>
      </w:tr>
      <w:tr>
        <w:trPr>
          <w:trHeight w:val="181"/>
        </w:trPr>
        <w:tc>
          <w:tcPr>
            <w:tcW w:w="6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Unrealized (increase) decrease in the estimated fair value of a warrant</w:t>
            </w: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(20,393)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(2,832)</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62,495</w:t>
            </w:r>
          </w:p>
        </w:tc>
      </w:tr>
      <w:tr>
        <w:trPr>
          <w:trHeight w:val="170"/>
        </w:trPr>
        <w:tc>
          <w:tcPr>
            <w:tcW w:w="69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(Gains) losses on sales of businesses and investments in equity securities (including downward and upward adjustments), net</w:t>
            </w: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(10,493)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19,346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(38,956)</w:t>
            </w:r>
          </w:p>
        </w:tc>
      </w:tr>
      <w:tr>
        <w:trPr>
          <w:trHeight w:val="181"/>
        </w:trPr>
        <w:tc>
          <w:tcPr>
            <w:tcW w:w="6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Pension and post-retirement benefit (credit) cost</w:t>
            </w: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(5,453)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209,991</w:t>
            </w:r>
          </w:p>
        </w:tc>
      </w:tr>
      <w:tr>
        <w:trPr>
          <w:trHeight w:val="170"/>
        </w:trPr>
        <w:tc>
          <w:tcPr>
            <w:tcW w:w="69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Goodwill impairment</w:t>
            </w:r>
          </w:p>
        </w:tc>
        <w:tc>
          <w:tcPr>
            <w:tcW w:w="32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9,000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112,753</w:t>
            </w:r>
          </w:p>
        </w:tc>
      </w:tr>
      <w:tr>
        <w:trPr>
          <w:trHeight w:val="181"/>
        </w:trPr>
        <w:tc>
          <w:tcPr>
            <w:tcW w:w="6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Other adjustments, net</w:t>
            </w: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(12,315)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17,963</w:t>
            </w:r>
          </w:p>
        </w:tc>
      </w:tr>
      <w:tr>
        <w:trPr>
          <w:trHeight w:val="170"/>
        </w:trPr>
        <w:tc>
          <w:tcPr>
            <w:tcW w:w="69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Changes in assets and liabilities, net of effects of dispositions:</w:t>
            </w: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81"/>
        </w:trPr>
        <w:tc>
          <w:tcPr>
            <w:tcW w:w="6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Accounts receivable</w:t>
            </w: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(51,783)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(37,296)</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(66,706)</w:t>
            </w:r>
          </w:p>
        </w:tc>
      </w:tr>
      <w:tr>
        <w:trPr>
          <w:trHeight w:val="170"/>
        </w:trPr>
        <w:tc>
          <w:tcPr>
            <w:tcW w:w="69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Other assets</w:t>
            </w: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103,861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11,281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8,920</w:t>
            </w:r>
          </w:p>
        </w:tc>
      </w:tr>
      <w:tr>
        <w:trPr>
          <w:trHeight w:val="181"/>
        </w:trPr>
        <w:tc>
          <w:tcPr>
            <w:tcW w:w="6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Operating lease liabilities</w:t>
            </w: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(69,783)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(74,256)</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(63,843)</w:t>
            </w:r>
          </w:p>
        </w:tc>
      </w:tr>
      <w:tr>
        <w:trPr>
          <w:trHeight w:val="170"/>
        </w:trPr>
        <w:tc>
          <w:tcPr>
            <w:tcW w:w="69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Accounts payable and other liabilities</w:t>
            </w: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(9,333)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(120,259)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(247,912)</w:t>
            </w:r>
          </w:p>
        </w:tc>
      </w:tr>
      <w:tr>
        <w:trPr>
          <w:trHeight w:val="181"/>
        </w:trPr>
        <w:tc>
          <w:tcPr>
            <w:tcW w:w="6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Income taxes payable and receivable</w:t>
            </w: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(2,780)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2,884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(6,739)</w:t>
            </w:r>
          </w:p>
        </w:tc>
      </w:tr>
      <w:tr>
        <w:trPr>
          <w:trHeight w:val="170"/>
        </w:trPr>
        <w:tc>
          <w:tcPr>
            <w:tcW w:w="6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3"/>
                <w:szCs w:val="13"/>
                <w:color w:val="auto"/>
              </w:rPr>
              <w:t>Deferred revenue</w:t>
            </w: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(12,533)</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(9,213)</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(11,020)</w:t>
            </w:r>
          </w:p>
        </w:tc>
      </w:tr>
      <w:tr>
        <w:trPr>
          <w:trHeight w:val="175"/>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cash provided by (used in) operating activities attributable to continuing operations</w:t>
            </w:r>
          </w:p>
        </w:tc>
        <w:tc>
          <w:tcPr>
            <w:tcW w:w="3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354,518</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189,528</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(82,791)</w:t>
            </w:r>
          </w:p>
        </w:tc>
      </w:tr>
      <w:tr>
        <w:trPr>
          <w:trHeight w:val="146"/>
        </w:trPr>
        <w:tc>
          <w:tcPr>
            <w:tcW w:w="698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Cash flows from investing activities attributable to continuing operations:</w:t>
            </w: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23"/>
        </w:trPr>
        <w:tc>
          <w:tcPr>
            <w:tcW w:w="6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75"/>
        </w:trPr>
        <w:tc>
          <w:tcPr>
            <w:tcW w:w="6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Capital expenditures</w:t>
            </w: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(65,506)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(141,364)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(139,753)</w:t>
            </w:r>
          </w:p>
        </w:tc>
      </w:tr>
      <w:tr>
        <w:trPr>
          <w:trHeight w:val="170"/>
        </w:trPr>
        <w:tc>
          <w:tcPr>
            <w:tcW w:w="69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Net proceeds from sales of fixed assets</w:t>
            </w: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12,832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29,805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9,780</w:t>
            </w:r>
          </w:p>
        </w:tc>
      </w:tr>
      <w:tr>
        <w:trPr>
          <w:trHeight w:val="181"/>
        </w:trPr>
        <w:tc>
          <w:tcPr>
            <w:tcW w:w="6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Proceeds from maturities of marketable debt securities</w:t>
            </w: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375,000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550,000</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69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Purchases of marketable debt securities</w:t>
            </w: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(221,788)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(455,413)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(233,928)</w:t>
            </w:r>
          </w:p>
        </w:tc>
      </w:tr>
      <w:tr>
        <w:trPr>
          <w:trHeight w:val="181"/>
        </w:trPr>
        <w:tc>
          <w:tcPr>
            <w:tcW w:w="6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Net proceeds from the sales of businesses and investments</w:t>
            </w: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177,163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11,861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90,767</w:t>
            </w:r>
          </w:p>
        </w:tc>
      </w:tr>
      <w:tr>
        <w:trPr>
          <w:trHeight w:val="170"/>
        </w:trPr>
        <w:tc>
          <w:tcPr>
            <w:tcW w:w="69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Purchase of retirement investment fund</w:t>
            </w: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(15,968)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1"/>
        </w:trPr>
        <w:tc>
          <w:tcPr>
            <w:tcW w:w="6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Proceeds from the sale of retirement investment fund</w:t>
            </w: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2,326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69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Net collections of notes receivable</w:t>
            </w: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11,834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11,297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19,497</w:t>
            </w:r>
          </w:p>
        </w:tc>
      </w:tr>
      <w:tr>
        <w:trPr>
          <w:trHeight w:val="181"/>
        </w:trPr>
        <w:tc>
          <w:tcPr>
            <w:tcW w:w="6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Purchases of investments</w:t>
            </w: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(103,555)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(3,036)</w:t>
            </w:r>
          </w:p>
        </w:tc>
      </w:tr>
      <w:tr>
        <w:trPr>
          <w:trHeight w:val="170"/>
        </w:trPr>
        <w:tc>
          <w:tcPr>
            <w:tcW w:w="69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Purchases of investment in MGM Resorts International</w:t>
            </w:r>
          </w:p>
        </w:tc>
        <w:tc>
          <w:tcPr>
            <w:tcW w:w="32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(244,256)</w:t>
            </w:r>
          </w:p>
        </w:tc>
      </w:tr>
      <w:tr>
        <w:trPr>
          <w:trHeight w:val="181"/>
        </w:trPr>
        <w:tc>
          <w:tcPr>
            <w:tcW w:w="6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Other, net</w:t>
            </w:r>
          </w:p>
        </w:tc>
        <w:tc>
          <w:tcPr>
            <w:tcW w:w="3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985</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9,902</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6,121</w:t>
            </w:r>
          </w:p>
        </w:tc>
      </w:tr>
      <w:tr>
        <w:trPr>
          <w:trHeight w:val="163"/>
        </w:trPr>
        <w:tc>
          <w:tcPr>
            <w:tcW w:w="6980" w:type="dxa"/>
            <w:vAlign w:val="bottom"/>
            <w:tcBorders>
              <w:bottom w:val="single" w:sz="8" w:color="CCEEFF"/>
            </w:tcBorders>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Net cash provided by (used in) investing activities attributable to continuing operations</w:t>
            </w: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276,825</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(87,467)</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(494,808)</w:t>
            </w:r>
          </w:p>
        </w:tc>
      </w:tr>
      <w:tr>
        <w:trPr>
          <w:trHeight w:val="155"/>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 attributable to continuing operations:</w:t>
            </w:r>
          </w:p>
        </w:tc>
        <w:tc>
          <w:tcPr>
            <w:tcW w:w="32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spacing w:after="0"/>
              <w:rPr>
                <w:sz w:val="13"/>
                <w:szCs w:val="13"/>
                <w:color w:val="auto"/>
              </w:rPr>
            </w:pPr>
          </w:p>
        </w:tc>
      </w:tr>
      <w:tr>
        <w:trPr>
          <w:trHeight w:val="170"/>
        </w:trPr>
        <w:tc>
          <w:tcPr>
            <w:tcW w:w="69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Principal payments on Dotdash Meredith Term Loans</w:t>
            </w: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(67,964)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(30,000)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(30,000)</w:t>
            </w:r>
          </w:p>
        </w:tc>
      </w:tr>
      <w:tr>
        <w:trPr>
          <w:trHeight w:val="181"/>
        </w:trPr>
        <w:tc>
          <w:tcPr>
            <w:tcW w:w="6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Proceeds from the issuance of Dotdash Meredith Term Loan B-1</w:t>
            </w: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7,964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69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Proceeds from the exercise of IAC stock options</w:t>
            </w:r>
          </w:p>
        </w:tc>
        <w:tc>
          <w:tcPr>
            <w:tcW w:w="32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1"/>
        </w:trPr>
        <w:tc>
          <w:tcPr>
            <w:tcW w:w="6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Withholding taxes paid on behalf of IAC employees on net settled stock-based awards</w:t>
            </w: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(14,976)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(10,587)</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(18,068)</w:t>
            </w:r>
          </w:p>
        </w:tc>
      </w:tr>
      <w:tr>
        <w:trPr>
          <w:trHeight w:val="170"/>
        </w:trPr>
        <w:tc>
          <w:tcPr>
            <w:tcW w:w="69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Withholding taxes paid on behalf of Angi Inc. employees on net settled stock-based awards</w:t>
            </w: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(7,578)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(5,994)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(8,827)</w:t>
            </w:r>
          </w:p>
        </w:tc>
      </w:tr>
      <w:tr>
        <w:trPr>
          <w:trHeight w:val="181"/>
        </w:trPr>
        <w:tc>
          <w:tcPr>
            <w:tcW w:w="6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Purchases of Angi Inc. treasury stock</w:t>
            </w: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(28,605)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(10,932)</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(8,144)</w:t>
            </w:r>
          </w:p>
        </w:tc>
      </w:tr>
      <w:tr>
        <w:trPr>
          <w:trHeight w:val="170"/>
        </w:trPr>
        <w:tc>
          <w:tcPr>
            <w:tcW w:w="69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Purchases of IAC treasury stock</w:t>
            </w:r>
          </w:p>
        </w:tc>
        <w:tc>
          <w:tcPr>
            <w:tcW w:w="32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(165,622)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(85,323)</w:t>
            </w:r>
          </w:p>
        </w:tc>
      </w:tr>
      <w:tr>
        <w:trPr>
          <w:trHeight w:val="181"/>
        </w:trPr>
        <w:tc>
          <w:tcPr>
            <w:tcW w:w="6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Purchase of noncontrolling interests</w:t>
            </w: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(16,019)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(1,179)</w:t>
            </w:r>
          </w:p>
        </w:tc>
      </w:tr>
      <w:tr>
        <w:trPr>
          <w:trHeight w:val="170"/>
        </w:trPr>
        <w:tc>
          <w:tcPr>
            <w:tcW w:w="69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Proceeds from the issuance of Vivian Health preferred shares, net of fees</w:t>
            </w:r>
          </w:p>
        </w:tc>
        <w:tc>
          <w:tcPr>
            <w:tcW w:w="32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34,700</w:t>
            </w:r>
          </w:p>
        </w:tc>
      </w:tr>
      <w:tr>
        <w:trPr>
          <w:trHeight w:val="181"/>
        </w:trPr>
        <w:tc>
          <w:tcPr>
            <w:tcW w:w="6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Other, net</w:t>
            </w:r>
          </w:p>
        </w:tc>
        <w:tc>
          <w:tcPr>
            <w:tcW w:w="3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(1,921)</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4,190</w:t>
            </w:r>
          </w:p>
        </w:tc>
      </w:tr>
      <w:tr>
        <w:trPr>
          <w:trHeight w:val="163"/>
        </w:trPr>
        <w:tc>
          <w:tcPr>
            <w:tcW w:w="6980" w:type="dxa"/>
            <w:vAlign w:val="bottom"/>
            <w:tcBorders>
              <w:bottom w:val="single" w:sz="8" w:color="CCEEFF"/>
            </w:tcBorders>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Net cash used in financing activities attributable to continuing operations</w:t>
            </w: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(129,099)</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(223,013)</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(112,651)</w:t>
            </w:r>
          </w:p>
        </w:tc>
      </w:tr>
      <w:tr>
        <w:trPr>
          <w:trHeight w:val="175"/>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cash provided by (used in) continuing operations</w:t>
            </w: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502,244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(120,952)</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(690,250)</w:t>
            </w:r>
          </w:p>
        </w:tc>
      </w:tr>
      <w:tr>
        <w:trPr>
          <w:trHeight w:val="170"/>
        </w:trPr>
        <w:tc>
          <w:tcPr>
            <w:tcW w:w="6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3"/>
                <w:szCs w:val="13"/>
                <w:color w:val="auto"/>
              </w:rPr>
              <w:t>Effect of exchange rate changes on cash and cash equivalents and restricted cash</w:t>
            </w: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(1,230)</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1,124</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(5,545)</w:t>
            </w:r>
          </w:p>
        </w:tc>
      </w:tr>
      <w:tr>
        <w:trPr>
          <w:trHeight w:val="175"/>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increase (decrease) in cash and cash equivalents and restricted cash</w:t>
            </w: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501,014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(119,828)</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(695,795)</w:t>
            </w:r>
          </w:p>
        </w:tc>
      </w:tr>
      <w:tr>
        <w:trPr>
          <w:trHeight w:val="170"/>
        </w:trPr>
        <w:tc>
          <w:tcPr>
            <w:tcW w:w="6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3"/>
                <w:szCs w:val="13"/>
                <w:color w:val="auto"/>
              </w:rPr>
              <w:t>Cash and cash equivalents and restricted cash at beginning of period</w:t>
            </w: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1,306,241</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1,426,069</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2,121,864</w:t>
            </w:r>
          </w:p>
        </w:tc>
      </w:tr>
      <w:tr>
        <w:trPr>
          <w:trHeight w:val="194"/>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and cash equivalents and restricted cash at end of period</w:t>
            </w:r>
          </w:p>
        </w:tc>
        <w:tc>
          <w:tcPr>
            <w:tcW w:w="32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1,807,255</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1,306,241</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1,426,069</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xml:space="preserve">The accompanying </w:t>
      </w:r>
      <w:r>
        <w:rPr>
          <w:rFonts w:ascii="Times New Roman" w:cs="Times New Roman" w:eastAsia="Times New Roman" w:hAnsi="Times New Roman"/>
          <w:sz w:val="16"/>
          <w:szCs w:val="16"/>
          <w:u w:val="single" w:color="auto"/>
          <w:color w:val="0000FF"/>
        </w:rPr>
        <w:t>Notes to Consolidated Financial Statements</w:t>
      </w:r>
      <w:r>
        <w:rPr>
          <w:rFonts w:ascii="Times New Roman" w:cs="Times New Roman" w:eastAsia="Times New Roman" w:hAnsi="Times New Roman"/>
          <w:sz w:val="16"/>
          <w:szCs w:val="16"/>
          <w:color w:val="auto"/>
        </w:rPr>
        <w:t xml:space="preserve"> are an integral part of these statements.</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IAC INC. AND SUBSIDIARIES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1—ORGANIZATION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16" w:lineRule="exact"/>
        <w:rPr>
          <w:sz w:val="20"/>
          <w:szCs w:val="20"/>
          <w:color w:val="auto"/>
        </w:rPr>
      </w:pPr>
    </w:p>
    <w:p>
      <w:pPr>
        <w:jc w:val="both"/>
        <w:ind w:right="380" w:firstLine="405"/>
        <w:spacing w:after="0" w:line="266" w:lineRule="auto"/>
        <w:rPr>
          <w:sz w:val="20"/>
          <w:szCs w:val="20"/>
          <w:color w:val="auto"/>
        </w:rPr>
      </w:pPr>
      <w:r>
        <w:rPr>
          <w:rFonts w:ascii="Times New Roman" w:cs="Times New Roman" w:eastAsia="Times New Roman" w:hAnsi="Times New Roman"/>
          <w:sz w:val="18"/>
          <w:szCs w:val="18"/>
          <w:color w:val="auto"/>
        </w:rPr>
        <w:t>IAC today is comprised of category leading businesses, including Dotdash Meredith, Angi Inc. (“Angi”) and Care.com, as well as others ranging from early stage to established businesses. IAC also holds strategic equity positions in businesses across several industries, including in MGM Resorts International (“MGM”) and Turo, Inc (“Turo”).</w:t>
      </w:r>
    </w:p>
    <w:p>
      <w:pPr>
        <w:spacing w:after="0" w:line="176" w:lineRule="exact"/>
        <w:rPr>
          <w:sz w:val="20"/>
          <w:szCs w:val="20"/>
          <w:color w:val="auto"/>
        </w:rPr>
      </w:pPr>
    </w:p>
    <w:p>
      <w:pPr>
        <w:ind w:right="260" w:firstLine="405"/>
        <w:spacing w:after="0" w:line="282" w:lineRule="auto"/>
        <w:rPr>
          <w:sz w:val="20"/>
          <w:szCs w:val="20"/>
          <w:color w:val="auto"/>
        </w:rPr>
      </w:pPr>
      <w:r>
        <w:rPr>
          <w:rFonts w:ascii="Times New Roman" w:cs="Times New Roman" w:eastAsia="Times New Roman" w:hAnsi="Times New Roman"/>
          <w:sz w:val="18"/>
          <w:szCs w:val="18"/>
          <w:color w:val="auto"/>
        </w:rPr>
        <w:t>As used herein, “IAC,” the “Company,” “we,” “our,” “us” and other similar terms refer to IAC Inc. and its subsidiaries (unless the context requires otherwise).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Dotdash Meredith</w:t>
      </w:r>
    </w:p>
    <w:p>
      <w:pPr>
        <w:spacing w:after="0" w:line="229"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Dotdash Meredith is one of the largest digital and print publishers in America. Nearly 200 million people trust Dotdash Meredith each month to help them make decisions, take action, and find inspiration. Dotdash Meredith's over 40 iconic brands include People, Better Homes &amp; Gardens, Verywell, FOOD &amp; WINE, The Spruce, allrecipes, BYRDIE, REAL SIMPLE, Investopedia, and Southern Living.</w:t>
      </w:r>
    </w:p>
    <w:p>
      <w:pPr>
        <w:spacing w:after="0" w:line="176" w:lineRule="exact"/>
        <w:rPr>
          <w:sz w:val="20"/>
          <w:szCs w:val="20"/>
          <w:color w:val="auto"/>
        </w:rPr>
      </w:pPr>
    </w:p>
    <w:p>
      <w:pPr>
        <w:ind w:right="200" w:firstLine="405"/>
        <w:spacing w:after="0" w:line="282" w:lineRule="auto"/>
        <w:rPr>
          <w:sz w:val="20"/>
          <w:szCs w:val="20"/>
          <w:color w:val="auto"/>
        </w:rPr>
      </w:pPr>
      <w:r>
        <w:rPr>
          <w:rFonts w:ascii="Times New Roman" w:cs="Times New Roman" w:eastAsia="Times New Roman" w:hAnsi="Times New Roman"/>
          <w:sz w:val="18"/>
          <w:szCs w:val="18"/>
          <w:color w:val="auto"/>
        </w:rPr>
        <w:t>Dotdash Meredith has two operating segments: (i) Digital, which includes its digital, mobile and licensing operations; and (ii) Print, which includes its magazine subscription and newsstand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Angi</w:t>
      </w:r>
    </w:p>
    <w:p>
      <w:pPr>
        <w:spacing w:after="0" w:line="229" w:lineRule="exact"/>
        <w:rPr>
          <w:sz w:val="20"/>
          <w:szCs w:val="20"/>
          <w:color w:val="auto"/>
        </w:rPr>
      </w:pPr>
    </w:p>
    <w:p>
      <w:pPr>
        <w:ind w:right="80" w:firstLine="405"/>
        <w:spacing w:after="0" w:line="247" w:lineRule="auto"/>
        <w:rPr>
          <w:sz w:val="20"/>
          <w:szCs w:val="20"/>
          <w:color w:val="auto"/>
        </w:rPr>
      </w:pPr>
      <w:r>
        <w:rPr>
          <w:rFonts w:ascii="Times New Roman" w:cs="Times New Roman" w:eastAsia="Times New Roman" w:hAnsi="Times New Roman"/>
          <w:sz w:val="18"/>
          <w:szCs w:val="18"/>
          <w:color w:val="auto"/>
        </w:rPr>
        <w:t>On January 13, 2025, IAC announced that its Board of Directors approved a plan to spin off its full stake in Angi to IAC shareholders. The Company intends to effect the spin-off through a dividend to the holders of its common stock and Class B common stock of all of the common stock of Angi owned by the Company (the “Distribution”). Prior to the effective time of the Distribution, the Company intends to voluntarily convert all of the shares of Class B common stock of Angi that it owns to shares of Class A common stock of Angi. The completion of the Distribution remains subject to customary conditions and to the final approval of the Company's Board of Directors and may not be completed, on the anticipated terms or at all. The Company expects to complete the Distribution as soon as March 31, 2025.</w:t>
      </w:r>
    </w:p>
    <w:p>
      <w:pPr>
        <w:spacing w:after="0" w:line="180"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Angi is a publicly traded company that connects quality home professionals with consumers across more than 500 different categories, from repairing and remodeling homes to cleaning and landscaping. Approximately 168,000 transacting professionals actively sought consumer matches, completed jobs or advertised work through Angi platforms during the three months ended December 31, 2024. Additionally, consumers turned to at least one Angi business to find a professional for approximately 17 million projects during the twelve months ended December 31, 2024. At December 31, 2024, IAC’s economic interest and voting interest in Angi were 85.3% and 98.3%, respectively.</w:t>
      </w:r>
    </w:p>
    <w:p>
      <w:pPr>
        <w:spacing w:after="0" w:line="183" w:lineRule="exact"/>
        <w:rPr>
          <w:sz w:val="20"/>
          <w:szCs w:val="20"/>
          <w:color w:val="auto"/>
        </w:rPr>
      </w:pPr>
    </w:p>
    <w:p>
      <w:pPr>
        <w:ind w:right="80" w:firstLine="405"/>
        <w:spacing w:after="0" w:line="244" w:lineRule="auto"/>
        <w:rPr>
          <w:sz w:val="20"/>
          <w:szCs w:val="20"/>
          <w:color w:val="auto"/>
        </w:rPr>
      </w:pPr>
      <w:r>
        <w:rPr>
          <w:rFonts w:ascii="Times New Roman" w:cs="Times New Roman" w:eastAsia="Times New Roman" w:hAnsi="Times New Roman"/>
          <w:sz w:val="18"/>
          <w:szCs w:val="18"/>
          <w:color w:val="auto"/>
        </w:rPr>
        <w:t>On November 1, 2023, Angi completed the sale of 100% of its wholly-owned subsidiary, Total Home Roofing, LLC (“Roofing”), and has reflected it as a discontinued operation in its standalone financial statements. Roofing did not meet the threshold to be reflected as a discontinued operation at the IAC level. During the fourth quarter of 2023, IAC moved Roofing to Emerging &amp; Other. Following the sale of Roofing, Angi has three operating segments: (i) Ads and Leads, (ii) Services and (iii) International (includes Europe and Canada), and operates under multiple brands including Angi, HomeAdvisor and Handy. Ads and Leads provides professionals the capability to engage with potential customers, including quoting and invoicing services, and provides consumers with tools and resources to help them find local, pre-screened and customer-rated professionals nationwide for home repair, maintenance and improvement projects. Services consumers can request household services directly through the Angi platform, and such requests are fulfilled by independently established home services providers engaged in a trade, occupation and/or business that customarily provides such services. Matching service, booking of pre-priced services and related tools and directories are provided to consumers free of charge upon registration.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Care.com</w:t>
      </w:r>
    </w:p>
    <w:p>
      <w:pPr>
        <w:spacing w:after="0" w:line="216" w:lineRule="exact"/>
        <w:rPr>
          <w:sz w:val="20"/>
          <w:szCs w:val="20"/>
          <w:color w:val="auto"/>
        </w:rPr>
      </w:pPr>
    </w:p>
    <w:p>
      <w:pPr>
        <w:ind w:right="200" w:firstLine="405"/>
        <w:spacing w:after="0" w:line="282" w:lineRule="auto"/>
        <w:rPr>
          <w:sz w:val="20"/>
          <w:szCs w:val="20"/>
          <w:color w:val="auto"/>
        </w:rPr>
      </w:pPr>
      <w:r>
        <w:rPr>
          <w:rFonts w:ascii="Times New Roman" w:cs="Times New Roman" w:eastAsia="Times New Roman" w:hAnsi="Times New Roman"/>
          <w:sz w:val="18"/>
          <w:szCs w:val="18"/>
          <w:color w:val="auto"/>
        </w:rPr>
        <w:t xml:space="preserve">Care.com, a leading online destination for families to connect with caregivers for their children, aging parents, pets and homes and for caregivers to connect with families seeking care services. Care.com's brands include </w:t>
      </w:r>
      <w:r>
        <w:rPr>
          <w:rFonts w:ascii="Times New Roman" w:cs="Times New Roman" w:eastAsia="Times New Roman" w:hAnsi="Times New Roman"/>
          <w:sz w:val="18"/>
          <w:szCs w:val="18"/>
          <w:i w:val="1"/>
          <w:iCs w:val="1"/>
          <w:color w:val="auto"/>
        </w:rPr>
        <w:t>Care For Business</w:t>
      </w:r>
      <w:r>
        <w:rPr>
          <w:rFonts w:ascii="Times New Roman" w:cs="Times New Roman" w:eastAsia="Times New Roman" w:hAnsi="Times New Roman"/>
          <w:sz w:val="18"/>
          <w:szCs w:val="18"/>
          <w:color w:val="auto"/>
        </w:rPr>
        <w:t xml:space="preserve">, Care.com offerings to enterprises and </w:t>
      </w:r>
      <w:r>
        <w:rPr>
          <w:rFonts w:ascii="Times New Roman" w:cs="Times New Roman" w:eastAsia="Times New Roman" w:hAnsi="Times New Roman"/>
          <w:sz w:val="18"/>
          <w:szCs w:val="18"/>
          <w:i w:val="1"/>
          <w:iCs w:val="1"/>
          <w:color w:val="auto"/>
        </w:rPr>
        <w:t>HomePay.</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IAC INC. AND SUBSIDIARIES</w:t>
      </w:r>
    </w:p>
    <w:p>
      <w:pPr>
        <w:spacing w:after="0" w:line="14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Search</w:t>
      </w:r>
    </w:p>
    <w:p>
      <w:pPr>
        <w:spacing w:after="0" w:line="216"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 xml:space="preserve">The Search segment consists of Ask Media Group and the Desktop business. Ask Media Group is a collection of websites providing general search services and information. The Desktop business includes our business-to-business partnership operations and the remaining installed base of our legacy direct-to-consumer downloadable desktop applications. Ask Media Group’s websites include, among others: </w:t>
      </w:r>
      <w:r>
        <w:rPr>
          <w:rFonts w:ascii="Times New Roman" w:cs="Times New Roman" w:eastAsia="Times New Roman" w:hAnsi="Times New Roman"/>
          <w:sz w:val="18"/>
          <w:szCs w:val="18"/>
          <w:i w:val="1"/>
          <w:iCs w:val="1"/>
          <w:color w:val="auto"/>
        </w:rPr>
        <w:t>Ask.com</w:t>
      </w:r>
      <w:r>
        <w:rPr>
          <w:rFonts w:ascii="Times New Roman" w:cs="Times New Roman" w:eastAsia="Times New Roman" w:hAnsi="Times New Roman"/>
          <w:sz w:val="18"/>
          <w:szCs w:val="18"/>
          <w:color w:val="auto"/>
        </w:rPr>
        <w:t xml:space="preserve">, a search site with a variety of fresh and contemporary content (celebrities, culture, entertainment, travel and general knowledge); </w:t>
      </w:r>
      <w:r>
        <w:rPr>
          <w:rFonts w:ascii="Times New Roman" w:cs="Times New Roman" w:eastAsia="Times New Roman" w:hAnsi="Times New Roman"/>
          <w:sz w:val="18"/>
          <w:szCs w:val="18"/>
          <w:i w:val="1"/>
          <w:iCs w:val="1"/>
          <w:color w:val="auto"/>
        </w:rPr>
        <w:t>Reference.com</w:t>
      </w:r>
      <w:r>
        <w:rPr>
          <w:rFonts w:ascii="Times New Roman" w:cs="Times New Roman" w:eastAsia="Times New Roman" w:hAnsi="Times New Roman"/>
          <w:sz w:val="18"/>
          <w:szCs w:val="18"/>
          <w:color w:val="auto"/>
        </w:rPr>
        <w:t xml:space="preserve">, a search and general knowledge content site that provides content across select vertical categories (history, business and finance and geography, among other verticals); </w:t>
      </w:r>
      <w:r>
        <w:rPr>
          <w:rFonts w:ascii="Times New Roman" w:cs="Times New Roman" w:eastAsia="Times New Roman" w:hAnsi="Times New Roman"/>
          <w:sz w:val="18"/>
          <w:szCs w:val="18"/>
          <w:i w:val="1"/>
          <w:iCs w:val="1"/>
          <w:color w:val="auto"/>
        </w:rPr>
        <w:t>Consumersearch.com</w:t>
      </w:r>
      <w:r>
        <w:rPr>
          <w:rFonts w:ascii="Times New Roman" w:cs="Times New Roman" w:eastAsia="Times New Roman" w:hAnsi="Times New Roman"/>
          <w:sz w:val="18"/>
          <w:szCs w:val="18"/>
          <w:color w:val="auto"/>
        </w:rPr>
        <w:t xml:space="preserve">, a search and content website that provides content designed to simplify the product research process; and </w:t>
      </w:r>
      <w:r>
        <w:rPr>
          <w:rFonts w:ascii="Times New Roman" w:cs="Times New Roman" w:eastAsia="Times New Roman" w:hAnsi="Times New Roman"/>
          <w:sz w:val="18"/>
          <w:szCs w:val="18"/>
          <w:i w:val="1"/>
          <w:iCs w:val="1"/>
          <w:color w:val="auto"/>
        </w:rPr>
        <w:t>Shopping.net</w:t>
      </w:r>
      <w:r>
        <w:rPr>
          <w:rFonts w:ascii="Times New Roman" w:cs="Times New Roman" w:eastAsia="Times New Roman" w:hAnsi="Times New Roman"/>
          <w:sz w:val="18"/>
          <w:szCs w:val="18"/>
          <w:color w:val="auto"/>
        </w:rPr>
        <w:t>, a vertical shopping search site, each of which contains a mix of search services and/or content targeted to various user or segment demographics.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&amp; Other</w:t>
      </w:r>
    </w:p>
    <w:p>
      <w:pPr>
        <w:spacing w:after="0" w:line="2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Emerging &amp; Other primarily includes:</w:t>
      </w:r>
    </w:p>
    <w:p>
      <w:pPr>
        <w:spacing w:after="0" w:line="225" w:lineRule="exact"/>
        <w:rPr>
          <w:sz w:val="20"/>
          <w:szCs w:val="20"/>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Vivian Health, a platform to efficiently connect healthcare professionals with job opportunities;</w:t>
      </w:r>
    </w:p>
    <w:p>
      <w:pPr>
        <w:spacing w:after="0" w:line="225"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Daily Beast, a website dedicated to news, commentary, culture and entertainment that publishes original reporting and opinion from its roster of full-time journalists and contributors;</w:t>
      </w:r>
    </w:p>
    <w:p>
      <w:pPr>
        <w:spacing w:after="0" w:line="161"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IAC Films, a provider of producer services for feature films, primarily for initial sale and distribution through theatrical releases and video-on-demand services in the United States (“U.S.”) and internationally;</w:t>
      </w:r>
    </w:p>
    <w:p>
      <w:pPr>
        <w:spacing w:after="0" w:line="161" w:lineRule="exact"/>
        <w:rPr>
          <w:rFonts w:ascii="Times New Roman" w:cs="Times New Roman" w:eastAsia="Times New Roman" w:hAnsi="Times New Roman"/>
          <w:sz w:val="18"/>
          <w:szCs w:val="18"/>
          <w:b w:val="1"/>
          <w:bCs w:val="1"/>
          <w:color w:val="auto"/>
        </w:rPr>
      </w:pPr>
    </w:p>
    <w:p>
      <w:pPr>
        <w:ind w:left="660" w:right="160" w:hanging="328"/>
        <w:spacing w:after="0" w:line="282" w:lineRule="auto"/>
        <w:tabs>
          <w:tab w:leader="none" w:pos="655"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Mosaic Group, a former developer and provider of global subscription mobile applications, for periods prior to the sale of its assets on February 15, 2024, which was accounted for as a sale of a business, for approximately $160 million;</w:t>
      </w:r>
    </w:p>
    <w:p>
      <w:pPr>
        <w:spacing w:after="0" w:line="161"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Roofing, a provider of roof replacement and repair services, for periods prior to its sale on November 1, 2023;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Bluecrew, a technology driven staffing platform, for periods prior to its sale on November 9,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Discontinued Operation</w:t>
      </w:r>
    </w:p>
    <w:p>
      <w:pPr>
        <w:spacing w:after="0" w:line="229"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Following the spin-off of IAC's full stake in Vimeo, Inc. (“Vimeo”) to IAC shareholders on May 25, 2021, Vimeo became an independent, separately traded public company and was presented as a discontinued operation within the Company's financial statements. During the fourth quarter of 2022, the Company allocated to Vimeo certain federal and state net operating losses based on the filing of its 2021 tax returns. The Company recorded a $2.7 million tax benefit through discontinued operations and deferred taxes to reflect this allocation.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The Company prepares its consolidated financial statements (referred to herein as “financial statements”) in accordance with U.S. generally accepted accounting principles (“GAAP”). The financial statements include all accounts of the Company, all entities that are wholly-owned by the Company and all entities in which the Company has a controlling financial interest. All intercompany transactions and balances between entities comprising the Company have been eliminated.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Estimates</w:t>
      </w:r>
    </w:p>
    <w:p>
      <w:pPr>
        <w:spacing w:after="0" w:line="229" w:lineRule="exact"/>
        <w:rPr>
          <w:sz w:val="20"/>
          <w:szCs w:val="20"/>
          <w:color w:val="auto"/>
        </w:rPr>
      </w:pPr>
    </w:p>
    <w:p>
      <w:pPr>
        <w:ind w:right="100" w:firstLine="445"/>
        <w:spacing w:after="0" w:line="266" w:lineRule="auto"/>
        <w:rPr>
          <w:sz w:val="20"/>
          <w:szCs w:val="20"/>
          <w:color w:val="auto"/>
        </w:rPr>
      </w:pPr>
      <w:r>
        <w:rPr>
          <w:rFonts w:ascii="Times New Roman" w:cs="Times New Roman" w:eastAsia="Times New Roman" w:hAnsi="Times New Roman"/>
          <w:sz w:val="18"/>
          <w:szCs w:val="18"/>
          <w:color w:val="auto"/>
        </w:rPr>
        <w:t>Management of the Company is required to make certain estimates, judgments and assumptions during the preparation of its financial statements in accordance with GAAP. These estimates, judgments and assumptions affect the amounts and disclosures reported in the financial statements and accompanying notes. Actual results could differ from these estimates.</w:t>
      </w:r>
    </w:p>
    <w:p>
      <w:pPr>
        <w:sectPr>
          <w:pgSz w:w="11900" w:h="16838" w:orient="portrait"/>
          <w:cols w:equalWidth="0" w:num="1">
            <w:col w:w="11180"/>
          </w:cols>
          <w:pgMar w:left="320" w:top="118"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type w:val="continuous"/>
        </w:sectPr>
      </w:pPr>
    </w:p>
    <w:bookmarkStart w:id="97" w:name="page98"/>
    <w:bookmarkEnd w:id="9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IAC INC. AND SUBSIDIARIES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80" w:firstLine="405"/>
        <w:spacing w:after="0" w:line="253" w:lineRule="auto"/>
        <w:rPr>
          <w:sz w:val="20"/>
          <w:szCs w:val="20"/>
          <w:color w:val="auto"/>
        </w:rPr>
      </w:pPr>
      <w:r>
        <w:rPr>
          <w:rFonts w:ascii="Times New Roman" w:cs="Times New Roman" w:eastAsia="Times New Roman" w:hAnsi="Times New Roman"/>
          <w:sz w:val="18"/>
          <w:szCs w:val="18"/>
          <w:color w:val="auto"/>
        </w:rPr>
        <w:t>On an ongoing basis, the Company evaluates its estimates, judgments and assumptions, including those related to: the fair values of cash equivalents and marketable debt and equity securities; the carrying value of accounts receivable, including the determination of the allowance for credit losses; the determination of the customer relationship period for certain costs to obtain a contract with a customer; the recoverability of right-of-use assets (“ROU assets”); the useful lives and recoverability of buildings, capitalized software, equipment and leasehold improvements and definite-lived intangible assets; the recoverability of goodwill and indefinite-lived intangible assets; the fair value of equity securities without readily determinable fair values; the fair value of interest rate swaps; contingencies; the fair value of acquisition-related contingent consideration arrangements; unrecognized tax benefits; the liability for potential refunds and customer credits; the valuation allowance for deferred income tax assets; pension and post-retirement benefit expenses, including actuarial assumptions regarding discount rates, expected returns on plan assets, inflation and healthcare costs; and the fair value of and forfeiture rates for stock-based awards, among others. The Company bases its estimates, judgments and assumptions on historical experience, its forecasts and budgets and other factors that the Company considers relevant.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Revenue Recognition</w:t>
      </w:r>
    </w:p>
    <w:p>
      <w:pPr>
        <w:spacing w:after="0" w:line="229"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The Company accounts for a contract with a customer when it has approval and commitment from all authorized parties, the rights of the parties and payment terms are identified, the contract has commercial substance and collectability of consideration is probable. Revenue is recognized when control of the promised services or goods is transferred to the Company’s customers and in an amount that reflects the consideration the Company expects to be entitled to in exchange for those services or goods.</w:t>
      </w:r>
    </w:p>
    <w:p>
      <w:pPr>
        <w:spacing w:after="0" w:line="1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Company's disaggregated revenue disclosures are presented in “</w:t>
      </w:r>
      <w:r>
        <w:rPr>
          <w:rFonts w:ascii="Times New Roman" w:cs="Times New Roman" w:eastAsia="Times New Roman" w:hAnsi="Times New Roman"/>
          <w:sz w:val="18"/>
          <w:szCs w:val="18"/>
          <w:u w:val="single" w:color="auto"/>
          <w:color w:val="0000FF"/>
        </w:rPr>
        <w:t>Note 9—Segment Information</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Transaction Price</w:t>
      </w:r>
    </w:p>
    <w:p>
      <w:pPr>
        <w:spacing w:after="0" w:line="229" w:lineRule="exact"/>
        <w:rPr>
          <w:sz w:val="20"/>
          <w:szCs w:val="20"/>
          <w:color w:val="auto"/>
        </w:rPr>
      </w:pPr>
    </w:p>
    <w:p>
      <w:pPr>
        <w:ind w:right="80" w:firstLine="405"/>
        <w:spacing w:after="0" w:line="256" w:lineRule="auto"/>
        <w:rPr>
          <w:sz w:val="20"/>
          <w:szCs w:val="20"/>
          <w:color w:val="auto"/>
        </w:rPr>
      </w:pPr>
      <w:r>
        <w:rPr>
          <w:rFonts w:ascii="Times New Roman" w:cs="Times New Roman" w:eastAsia="Times New Roman" w:hAnsi="Times New Roman"/>
          <w:sz w:val="18"/>
          <w:szCs w:val="18"/>
          <w:color w:val="auto"/>
        </w:rPr>
        <w:t>The objective of determining the transaction price is to estimate the amount of consideration the Company is due in exchange for its services or goods, including amounts that are variable. Contracts may include sales incentives, such as volume discounts or rebates, which are accounted for as variable consideration when estimating the transaction price. The Company also maintains a liability for potential future refunds and customer credits, which is recorded as a reduction of revenue. All estimates of variable consideration are based upon historical experience and customer trends. The Company determines the total transaction price, including an estimate of any variable consideration, at contract inception and reassesses this estimate each reporting period.</w:t>
      </w:r>
    </w:p>
    <w:p>
      <w:pPr>
        <w:spacing w:after="0" w:line="187"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The Company excludes from the measurement of transaction price all taxes assessed by governmental authorities that are both (i) imposed on and concurrent with a specific revenue-producing transaction and (ii) collected from customers. Accordingly, such tax amounts are not included as a component of revenue or cost of revenue.</w:t>
      </w:r>
    </w:p>
    <w:p>
      <w:pPr>
        <w:spacing w:after="0" w:line="1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Arrangements with Multiple Performance Obligations</w:t>
      </w:r>
    </w:p>
    <w:p>
      <w:pPr>
        <w:spacing w:after="0" w:line="229" w:lineRule="exact"/>
        <w:rPr>
          <w:sz w:val="20"/>
          <w:szCs w:val="20"/>
          <w:color w:val="auto"/>
        </w:rPr>
      </w:pPr>
    </w:p>
    <w:p>
      <w:pPr>
        <w:jc w:val="both"/>
        <w:ind w:right="140" w:firstLine="405"/>
        <w:spacing w:after="0" w:line="266" w:lineRule="auto"/>
        <w:rPr>
          <w:sz w:val="20"/>
          <w:szCs w:val="20"/>
          <w:color w:val="auto"/>
        </w:rPr>
      </w:pPr>
      <w:r>
        <w:rPr>
          <w:rFonts w:ascii="Times New Roman" w:cs="Times New Roman" w:eastAsia="Times New Roman" w:hAnsi="Times New Roman"/>
          <w:sz w:val="18"/>
          <w:szCs w:val="18"/>
          <w:color w:val="auto"/>
        </w:rPr>
        <w:t>The Company’s contracts with customers may include multiple performance obligations. For such arrangements, the Company allocates revenue to each performance obligation based on its relative standalone selling price. The Company determines standalone selling prices based on the prices charged to customers, which are directly observable or an estimate if not directly observable.</w:t>
      </w:r>
    </w:p>
    <w:p>
      <w:pPr>
        <w:spacing w:after="0" w:line="1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Practical Expedients and Exemptions</w:t>
      </w:r>
    </w:p>
    <w:p>
      <w:pPr>
        <w:spacing w:after="0" w:line="214" w:lineRule="exact"/>
        <w:rPr>
          <w:sz w:val="20"/>
          <w:szCs w:val="20"/>
          <w:color w:val="auto"/>
        </w:rPr>
      </w:pPr>
    </w:p>
    <w:p>
      <w:pPr>
        <w:ind w:right="240" w:firstLine="405"/>
        <w:spacing w:after="0" w:line="284" w:lineRule="auto"/>
        <w:rPr>
          <w:sz w:val="20"/>
          <w:szCs w:val="20"/>
          <w:color w:val="auto"/>
        </w:rPr>
      </w:pPr>
      <w:r>
        <w:rPr>
          <w:rFonts w:ascii="Times New Roman" w:cs="Times New Roman" w:eastAsia="Times New Roman" w:hAnsi="Times New Roman"/>
          <w:sz w:val="18"/>
          <w:szCs w:val="18"/>
          <w:color w:val="auto"/>
        </w:rPr>
        <w:t xml:space="preserve">For contracts that have an original duration of one year or less, the Company uses the practical expedient available under ASC Topic 606, </w:t>
      </w: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from Contracts with Customers </w:t>
      </w:r>
      <w:r>
        <w:rPr>
          <w:rFonts w:ascii="Times New Roman" w:cs="Times New Roman" w:eastAsia="Times New Roman" w:hAnsi="Times New Roman"/>
          <w:sz w:val="18"/>
          <w:szCs w:val="18"/>
          <w:color w:val="auto"/>
        </w:rPr>
        <w:t>(“ASC 606”), applicable to such contracts and does not consider the time value of money.</w:t>
      </w:r>
    </w:p>
    <w:p>
      <w:pPr>
        <w:spacing w:after="0" w:line="160"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In addition, as permitted under the practical expedient available under ASC 606, the Company does not disclose the value of unsatisfied performance obligations for (i) contracts with an original expected length of one year or less, (ii) contracts with variable consideration that is tied to sales-based or usage-based royalties, allocated entirely to unsatisfied performance obligations, or to a wholly unsatisfied promise accounted for under the series guidance, and (iii) contracts for which the Company recognizes revenue at the amount which it has the right to invoice for services performed.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IAC INC. AND SUBSIDIARIES</w:t>
      </w:r>
    </w:p>
    <w:p>
      <w:pPr>
        <w:spacing w:after="0" w:line="1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40" w:firstLine="405"/>
        <w:spacing w:after="0" w:line="282" w:lineRule="auto"/>
        <w:rPr>
          <w:sz w:val="20"/>
          <w:szCs w:val="20"/>
          <w:color w:val="auto"/>
        </w:rPr>
      </w:pPr>
      <w:r>
        <w:rPr>
          <w:rFonts w:ascii="Times New Roman" w:cs="Times New Roman" w:eastAsia="Times New Roman" w:hAnsi="Times New Roman"/>
          <w:sz w:val="18"/>
          <w:szCs w:val="18"/>
          <w:color w:val="auto"/>
        </w:rPr>
        <w:t>The Company also applies the practical expedient to expense sales commissions as incurred where the anticipated customer relationship period is one year or less as noted below.</w:t>
      </w:r>
    </w:p>
    <w:p>
      <w:pPr>
        <w:spacing w:after="0" w:line="18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Costs to Obtain a Contract with a Customer</w:t>
      </w:r>
    </w:p>
    <w:p>
      <w:pPr>
        <w:spacing w:after="0" w:line="229"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The Company uses a portfolio approach to assess the accounting treatment of the incremental costs to obtain a contract with a customer. The Company recognizes an asset if we expect to recover those costs. To the extent that these costs are capitalized, the resultant asset is amortized on a systematic basis consistent with the pattern of the transfer of the services to which the asset relates. The Company has determined that certain costs, primarily commissions paid to employees pursuant to certain sales incentive programs and mobile app store fees, meet the requirements to be capitalized as a cost of obtaining a contract.</w:t>
      </w:r>
    </w:p>
    <w:p>
      <w:pPr>
        <w:spacing w:after="0" w:line="18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Commissions Paid to Employees Pursuant to Sales Incentive Programs</w:t>
      </w:r>
    </w:p>
    <w:p>
      <w:pPr>
        <w:spacing w:after="0" w:line="227" w:lineRule="exact"/>
        <w:rPr>
          <w:sz w:val="20"/>
          <w:szCs w:val="20"/>
          <w:color w:val="auto"/>
        </w:rPr>
      </w:pPr>
    </w:p>
    <w:p>
      <w:pPr>
        <w:ind w:right="240" w:firstLine="405"/>
        <w:spacing w:after="0" w:line="256" w:lineRule="auto"/>
        <w:rPr>
          <w:sz w:val="20"/>
          <w:szCs w:val="20"/>
          <w:color w:val="auto"/>
        </w:rPr>
      </w:pPr>
      <w:r>
        <w:rPr>
          <w:rFonts w:ascii="Times New Roman" w:cs="Times New Roman" w:eastAsia="Times New Roman" w:hAnsi="Times New Roman"/>
          <w:sz w:val="18"/>
          <w:szCs w:val="18"/>
          <w:color w:val="auto"/>
        </w:rPr>
        <w:t>The Company has determined that commissions paid to employees pursuant to certain sales incentive programs meet the requirements to be capitalized as the incremental costs to obtain a contract with a customer. When customer renewals are expected and the renewal commission is not commensurate with the initial commission, the average customer life includes renewal periods. Capitalized commissions paid to employees pursuant to these sales incentive programs are amortized over the estimated customer relationship period and are included in “Selling and marketing expense” in the statement of operations. The Company calculates the anticipated customer relationship period as the average customer life, which is based on historical data.</w:t>
      </w:r>
    </w:p>
    <w:p>
      <w:pPr>
        <w:spacing w:after="0" w:line="187" w:lineRule="exact"/>
        <w:rPr>
          <w:sz w:val="20"/>
          <w:szCs w:val="20"/>
          <w:color w:val="auto"/>
        </w:rPr>
      </w:pPr>
    </w:p>
    <w:p>
      <w:pPr>
        <w:jc w:val="both"/>
        <w:ind w:right="140" w:firstLine="405"/>
        <w:spacing w:after="0" w:line="266" w:lineRule="auto"/>
        <w:rPr>
          <w:sz w:val="20"/>
          <w:szCs w:val="20"/>
          <w:color w:val="auto"/>
        </w:rPr>
      </w:pPr>
      <w:r>
        <w:rPr>
          <w:rFonts w:ascii="Times New Roman" w:cs="Times New Roman" w:eastAsia="Times New Roman" w:hAnsi="Times New Roman"/>
          <w:sz w:val="18"/>
          <w:szCs w:val="18"/>
          <w:color w:val="auto"/>
        </w:rPr>
        <w:t>For sales incentive programs where the anticipated customer relationship period is one year or less, the Company has elected the practical expedient to expense the commissions as incurred. Beginning October 1, 2022, commissions earned on certain transactions within the Angi Ads and Leads segment were expensed as incurred after determining the related customer relationship was less than one year.</w:t>
      </w:r>
    </w:p>
    <w:p>
      <w:pPr>
        <w:spacing w:after="0" w:line="17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App Store Fees</w:t>
      </w:r>
    </w:p>
    <w:p>
      <w:pPr>
        <w:spacing w:after="0" w:line="227" w:lineRule="exact"/>
        <w:rPr>
          <w:sz w:val="20"/>
          <w:szCs w:val="20"/>
          <w:color w:val="auto"/>
        </w:rPr>
      </w:pPr>
    </w:p>
    <w:p>
      <w:pPr>
        <w:jc w:val="both"/>
        <w:ind w:right="60" w:firstLine="405"/>
        <w:spacing w:after="0" w:line="266" w:lineRule="auto"/>
        <w:rPr>
          <w:sz w:val="20"/>
          <w:szCs w:val="20"/>
          <w:color w:val="auto"/>
        </w:rPr>
      </w:pPr>
      <w:r>
        <w:rPr>
          <w:rFonts w:ascii="Times New Roman" w:cs="Times New Roman" w:eastAsia="Times New Roman" w:hAnsi="Times New Roman"/>
          <w:sz w:val="18"/>
          <w:szCs w:val="18"/>
          <w:color w:val="auto"/>
        </w:rPr>
        <w:t>The Company pays fees to the Apple App Store and the Google Play Store for the distribution of our paid mobile apps. The Company capitalizes and amortizes mobile app store fees related to subscriptions over the term of the applicable subscription. The amortization of mobile app store fees is included in “Cost of revenue” in the statement of operations.</w:t>
      </w:r>
    </w:p>
    <w:p>
      <w:pPr>
        <w:spacing w:after="0" w:line="17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Summary of Costs to Obtain a Contract with a Customer</w:t>
      </w:r>
    </w:p>
    <w:p>
      <w:pPr>
        <w:spacing w:after="0" w:line="2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the capitalized costs to obtain a contract with a customer at December 31, 2024 and 2023:</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60" w:type="dxa"/>
            <w:vAlign w:val="bottom"/>
            <w:gridSpan w:val="5"/>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3"/>
        </w:trPr>
        <w:tc>
          <w:tcPr>
            <w:tcW w:w="26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86"/>
        </w:trPr>
        <w:tc>
          <w:tcPr>
            <w:tcW w:w="2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3"/>
        </w:trPr>
        <w:tc>
          <w:tcPr>
            <w:tcW w:w="26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90"/>
        </w:trPr>
        <w:tc>
          <w:tcPr>
            <w:tcW w:w="26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Sales Commissions</w:t>
            </w: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App Store Fees</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Sales Commissions</w:t>
            </w: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App Store Fees</w:t>
            </w: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6"/>
        </w:trPr>
        <w:tc>
          <w:tcPr>
            <w:tcW w:w="2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60" w:type="dxa"/>
            <w:vAlign w:val="bottom"/>
            <w:gridSpan w:val="5"/>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36"/>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26,302</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27,167</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36,589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44,424</w:t>
            </w:r>
          </w:p>
        </w:tc>
      </w:tr>
      <w:tr>
        <w:trPr>
          <w:trHeight w:val="230"/>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6,058</w:t>
            </w:r>
          </w:p>
        </w:tc>
      </w:tr>
      <w:tr>
        <w:trPr>
          <w:trHeight w:val="248"/>
        </w:trPr>
        <w:tc>
          <w:tcPr>
            <w:tcW w:w="2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29,908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50,482</w:t>
            </w: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180" w:firstLine="405"/>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2024, 2023 and 2022, the Company recognized expense of $62.4 million, $97.4 million and $95.5 million, respectively, related to the amortization of capitalized costs to obtain a contract with a customer. The change in capitalized app store fees from December 31, 2023 to December 31, 2024 reflects the reduction of $7.0 million due to the sale of assets of Mosaic Group on February 15, 2024.</w:t>
      </w:r>
    </w:p>
    <w:p>
      <w:pPr>
        <w:spacing w:after="0" w:line="176" w:lineRule="exact"/>
        <w:rPr>
          <w:sz w:val="20"/>
          <w:szCs w:val="20"/>
          <w:color w:val="auto"/>
        </w:rPr>
      </w:pPr>
    </w:p>
    <w:p>
      <w:pPr>
        <w:ind w:right="460" w:firstLine="405"/>
        <w:spacing w:after="0" w:line="282" w:lineRule="auto"/>
        <w:rPr>
          <w:sz w:val="20"/>
          <w:szCs w:val="20"/>
          <w:color w:val="auto"/>
        </w:rPr>
      </w:pPr>
      <w:r>
        <w:rPr>
          <w:rFonts w:ascii="Times New Roman" w:cs="Times New Roman" w:eastAsia="Times New Roman" w:hAnsi="Times New Roman"/>
          <w:sz w:val="18"/>
          <w:szCs w:val="18"/>
          <w:color w:val="auto"/>
        </w:rPr>
        <w:t>The current and non-current capitalized costs to obtain a contract with a customer are included in “Other current assets” and “Other non-current assets,” respectively, in the balance sheet.</w:t>
      </w: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99" w:name="page100"/>
    <w:bookmarkEnd w:id="9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IAC INC. AND SUBSIDIARIES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Commissions Paid to Third-Party Agents for the Sales of Magazine Subscriptions</w:t>
      </w:r>
    </w:p>
    <w:p>
      <w:pPr>
        <w:spacing w:after="0" w:line="214"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Dotdash Meredith uses third-party agents to obtain certain magazine subscribers. The agents are paid a commission, which can be as much as the subscription price charged to the subscriber. Dotdash Meredith subscriptions do not have substantive termination penalties; therefore, the contract term is determined on an issue-by-issue basis. Accordingly, these commissions do not qualify for capitalization because there is no contract with a customer until a copy is prepared for shipment, at which point these costs are expensed. In the event a subscriber cancels its subscription, Dotdash Meredith recognizes a liability to the extent the commission is refundable to the third-party agent. Dotdash Meredith expenses additional amounts paid to agents (such as per subscriber bounties) to acquire subscribers as incurred. Expenses related to third-party agent sales of magazine subscriptions are included in “Selling and marketing expense” in the statement of operations.</w:t>
      </w:r>
    </w:p>
    <w:p>
      <w:pPr>
        <w:spacing w:after="0" w:line="18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Dotdash Meredith</w:t>
      </w:r>
    </w:p>
    <w:p>
      <w:pPr>
        <w:spacing w:after="0" w:line="216" w:lineRule="exact"/>
        <w:rPr>
          <w:sz w:val="20"/>
          <w:szCs w:val="20"/>
          <w:color w:val="auto"/>
        </w:rPr>
      </w:pPr>
    </w:p>
    <w:p>
      <w:pPr>
        <w:jc w:val="both"/>
        <w:ind w:right="520" w:firstLine="405"/>
        <w:spacing w:after="0" w:line="266" w:lineRule="auto"/>
        <w:rPr>
          <w:sz w:val="20"/>
          <w:szCs w:val="20"/>
          <w:color w:val="auto"/>
        </w:rPr>
      </w:pPr>
      <w:r>
        <w:rPr>
          <w:rFonts w:ascii="Times New Roman" w:cs="Times New Roman" w:eastAsia="Times New Roman" w:hAnsi="Times New Roman"/>
          <w:sz w:val="18"/>
          <w:szCs w:val="18"/>
          <w:color w:val="auto"/>
        </w:rPr>
        <w:t>Dotdash Meredith revenue consists of digital and print revenue. Digital revenue consists principally of advertising, performance marketing and licensing and other revenue. Print revenue consists principally of subscription, advertising, project and other, newsstand and performance marketing revenue.</w:t>
      </w:r>
    </w:p>
    <w:p>
      <w:pPr>
        <w:spacing w:after="0" w:line="17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Digital</w:t>
      </w:r>
    </w:p>
    <w:p>
      <w:pPr>
        <w:spacing w:after="0" w:line="2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Advertising</w:t>
      </w:r>
    </w:p>
    <w:p>
      <w:pPr>
        <w:spacing w:after="0" w:line="225" w:lineRule="exact"/>
        <w:rPr>
          <w:sz w:val="20"/>
          <w:szCs w:val="20"/>
          <w:color w:val="auto"/>
        </w:rPr>
      </w:pPr>
    </w:p>
    <w:p>
      <w:pPr>
        <w:jc w:val="both"/>
        <w:ind w:right="220" w:firstLine="405"/>
        <w:spacing w:after="0" w:line="281" w:lineRule="auto"/>
        <w:rPr>
          <w:sz w:val="20"/>
          <w:szCs w:val="20"/>
          <w:color w:val="auto"/>
        </w:rPr>
      </w:pPr>
      <w:r>
        <w:rPr>
          <w:rFonts w:ascii="Times New Roman" w:cs="Times New Roman" w:eastAsia="Times New Roman" w:hAnsi="Times New Roman"/>
          <w:sz w:val="17"/>
          <w:szCs w:val="17"/>
          <w:color w:val="auto"/>
        </w:rPr>
        <w:t>Advertising revenue is generated primarily through digital advertisements sold by Dotdash Meredith's sales team directly to advertisers or through advertising agencies and programmatic advertising networks. Performance obligations consist of delivering advertisements with a promised number of actions related to the advertisements, such as impressions or clicks, displaying advertisements for an agreed upon amount of time or providing available advertising space. The price is determined by an agreed-upon pricing model such as CPM (cost-per-1,000 impressions), CPC (cost-per-click) or flat fees.</w:t>
      </w:r>
    </w:p>
    <w:p>
      <w:pPr>
        <w:spacing w:after="0" w:line="164"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The Company recognizes revenue over time as performance obligations are satisfied. Revenue is recognized using an output method based on actions delivered or time elapsed depending on the nature of the performance obligation. The Company considers the right to receive consideration from a customer to correspond directly with the value to the customer of our performance completed to date. The customer is invoiced in the month following the month that the advertisements are delivered.</w:t>
      </w:r>
    </w:p>
    <w:p>
      <w:pPr>
        <w:spacing w:after="0" w:line="1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Performance Marketing</w:t>
      </w:r>
    </w:p>
    <w:p>
      <w:pPr>
        <w:spacing w:after="0" w:line="225"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Performance marketing revenue includes commissions generated through affiliate commerce, affinity marketing channels and performance marketing. Affiliate commerce commission revenue is generated when Dotdash Meredith's branded content refers consumers to commerce partner websites resulting in a purchase or transaction. Performance marketing commissions are generated on a cost-per-click or cost-per-action basis. Performance marketing and affiliate commerce partners are invoiced monthly.</w:t>
      </w:r>
    </w:p>
    <w:p>
      <w:pPr>
        <w:spacing w:after="0" w:line="180" w:lineRule="exact"/>
        <w:rPr>
          <w:sz w:val="20"/>
          <w:szCs w:val="20"/>
          <w:color w:val="auto"/>
        </w:rPr>
      </w:pPr>
    </w:p>
    <w:p>
      <w:pPr>
        <w:ind w:right="420" w:firstLine="405"/>
        <w:spacing w:after="0" w:line="282" w:lineRule="auto"/>
        <w:rPr>
          <w:sz w:val="20"/>
          <w:szCs w:val="20"/>
          <w:color w:val="auto"/>
        </w:rPr>
      </w:pPr>
      <w:r>
        <w:rPr>
          <w:rFonts w:ascii="Times New Roman" w:cs="Times New Roman" w:eastAsia="Times New Roman" w:hAnsi="Times New Roman"/>
          <w:sz w:val="18"/>
          <w:szCs w:val="18"/>
          <w:color w:val="auto"/>
        </w:rPr>
        <w:t>Affinity marketing programs are arrangements where Dotdash Meredith acts as an agent for both Dotdash Meredith and third-party publishers to market and place magazine subscriptions online. Dotdash Meredith net settles with the third-party publishers monthly.</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Licensing and Other</w:t>
      </w:r>
    </w:p>
    <w:p>
      <w:pPr>
        <w:spacing w:after="0" w:line="225" w:lineRule="exact"/>
        <w:rPr>
          <w:sz w:val="20"/>
          <w:szCs w:val="20"/>
          <w:color w:val="auto"/>
        </w:rPr>
      </w:pPr>
    </w:p>
    <w:p>
      <w:pPr>
        <w:ind w:right="180" w:firstLine="405"/>
        <w:spacing w:after="0" w:line="255" w:lineRule="auto"/>
        <w:rPr>
          <w:sz w:val="20"/>
          <w:szCs w:val="20"/>
          <w:color w:val="auto"/>
        </w:rPr>
      </w:pPr>
      <w:r>
        <w:rPr>
          <w:rFonts w:ascii="Times New Roman" w:cs="Times New Roman" w:eastAsia="Times New Roman" w:hAnsi="Times New Roman"/>
          <w:sz w:val="18"/>
          <w:szCs w:val="18"/>
          <w:color w:val="auto"/>
        </w:rPr>
        <w:t>Licensing and other revenue include symbolic licenses, which include direct-to-retail product partnerships based on Dotdash Meredith's brands, and functional licenses, which consist of content use and distribution relationships, including utilization in large-language models and other artificial intelligence-related activities. Revenues from symbolic licenses are in the form of a royalty based on the sale or usage of the branded product, which is recognized over time when the sale or use occurs. Generally, revenues are accrued based on estimated sales and adjusted as actual sales are reported by partners. These adjustments are typically recorded within three months of the initial estimates and have not been material. Minimum guarantees, if applicable, are generally recognized as revenue over the term of the applicable contract. Revenue from functional licenses is recognized as Dotdash Meredith's content is delivered or access to the content is granted.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IAC INC. AND SUBSIDIARIES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Print</w:t>
      </w:r>
    </w:p>
    <w:p>
      <w:pPr>
        <w:spacing w:after="0" w:line="2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Subscription</w:t>
      </w:r>
    </w:p>
    <w:p>
      <w:pPr>
        <w:spacing w:after="0" w:line="225"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Subscription revenue relates to the sale of Dotdash Meredith magazine subscriptions, including digital editions. Subscriptions do not have substantive termination penalties; therefore, the contract term is determined on an issue-by-issue basis. Most of Dotdash Meredith’s subscription sales are prepaid at the time of order and may be canceled at any time for a refund of the pro rata portion of the initial subscription. Accordingly, the amounts received from prepaid subscriptions are recorded as a customer deposit liability rather than as deferred revenue. Each issue is a distinct performance obligation and revenue is recognized when the publication is sent to the customer.</w:t>
      </w:r>
    </w:p>
    <w:p>
      <w:pPr>
        <w:spacing w:after="0" w:line="18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Advertising</w:t>
      </w:r>
    </w:p>
    <w:p>
      <w:pPr>
        <w:spacing w:after="0" w:line="225" w:lineRule="exact"/>
        <w:rPr>
          <w:sz w:val="20"/>
          <w:szCs w:val="20"/>
          <w:color w:val="auto"/>
        </w:rPr>
      </w:pPr>
    </w:p>
    <w:p>
      <w:pPr>
        <w:ind w:right="200" w:firstLine="405"/>
        <w:spacing w:after="0" w:line="266" w:lineRule="auto"/>
        <w:rPr>
          <w:sz w:val="20"/>
          <w:szCs w:val="20"/>
          <w:color w:val="auto"/>
        </w:rPr>
      </w:pPr>
      <w:r>
        <w:rPr>
          <w:rFonts w:ascii="Times New Roman" w:cs="Times New Roman" w:eastAsia="Times New Roman" w:hAnsi="Times New Roman"/>
          <w:sz w:val="18"/>
          <w:szCs w:val="18"/>
          <w:color w:val="auto"/>
        </w:rPr>
        <w:t>Advertising revenue primarily relates to the sale of advertising in magazines directly to advertisers or through advertising agencies. Revenue is recognized on the magazine issue’s on-sale date, which is the date the magazine is published. The customer is invoiced, net of agency commissions, once the advertisements are published under normal industry trade terms.</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Project and Other</w:t>
      </w:r>
    </w:p>
    <w:p>
      <w:pPr>
        <w:spacing w:after="0" w:line="225" w:lineRule="exact"/>
        <w:rPr>
          <w:sz w:val="20"/>
          <w:szCs w:val="20"/>
          <w:color w:val="auto"/>
        </w:rPr>
      </w:pPr>
    </w:p>
    <w:p>
      <w:pPr>
        <w:ind w:right="160" w:firstLine="405"/>
        <w:spacing w:after="0" w:line="258" w:lineRule="auto"/>
        <w:rPr>
          <w:sz w:val="20"/>
          <w:szCs w:val="20"/>
          <w:color w:val="auto"/>
        </w:rPr>
      </w:pPr>
      <w:r>
        <w:rPr>
          <w:rFonts w:ascii="Times New Roman" w:cs="Times New Roman" w:eastAsia="Times New Roman" w:hAnsi="Times New Roman"/>
          <w:sz w:val="18"/>
          <w:szCs w:val="18"/>
          <w:color w:val="auto"/>
        </w:rPr>
        <w:t>Project and other revenue include other revenue streams that are primarily project based and may relate to any one or combination of the following activities: audience targeted advertising, custom publishing, content strategy and development, email marketing, social media, database marketing and search engine optimization. Depending on the contractual arrangement, revenue is recognized either as the purchased advertising is run on third-party platforms, or over the contractual period when the products do not have an alternate use to the Company or its other clients. Payment terms vary based on the nature of the contract.</w:t>
      </w:r>
    </w:p>
    <w:p>
      <w:pPr>
        <w:spacing w:after="0" w:line="18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Newsstand</w:t>
      </w:r>
    </w:p>
    <w:p>
      <w:pPr>
        <w:spacing w:after="0" w:line="225"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color w:val="auto"/>
        </w:rPr>
        <w:t>Newsstand revenue is related to single copy magazines or bundles of single copy magazines sold to wholesalers for resale on newsstands. Publications sold to magazine wholesalers are sold with the right to receive credit from Dotdash Meredith for magazines returned to the wholesaler by retailers. Revenue is recognized on the issue's on-sale date as the date aligns most closely with the date that control is transferred to the customer. Wholesalers are invoiced a percentage of estimated final sales the month after the issue’s initial on-sale date. The previously estimated revenue is adjusted based upon the final sales, which occur when the final amounts are settled under normal industry terms.</w:t>
      </w:r>
    </w:p>
    <w:p>
      <w:pPr>
        <w:spacing w:after="0" w:line="18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Performance Marketing</w:t>
      </w:r>
    </w:p>
    <w:p>
      <w:pPr>
        <w:spacing w:after="0" w:line="225"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Performance marketing revenue principally consists of affinity marketing revenue through which Dotdash Meredith places magazine subscriptions for third-party publishers. Commissions are earned when a subscriber name has been provided to the publisher and any free trial period is completed. Dotdash Meredith net settles with these third parties monthly.</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IAC INC. AND SUBSIDIARIES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Angi</w:t>
      </w:r>
    </w:p>
    <w:p>
      <w:pPr>
        <w:spacing w:after="0" w:line="2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Ads and Leads</w:t>
      </w:r>
    </w:p>
    <w:p>
      <w:pPr>
        <w:spacing w:after="0" w:line="227"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 xml:space="preserve">Ads and Leads revenue includes consumer connection revenue which comprises fees paid by professionals for consumer matches (regardless of whether the professional ultimately provides the requested service), revenue from professionals under contract for advertising, membership subscription revenue from professionals and consumers and revenue from other services. Consumer connection revenue varies based upon several factors, including the service requested, product experience offered, and geographic location of service. Consumer connection revenue is generally billed one week following a consumer match, with payment due upon receipt of invoice. Angi maintains a liability for potential credits issued to professionals. Angi professionals generally pay for advertisements in advance on a monthly or annual basis at the option of the professional, with the average advertising contract term being approximately one year. Angi website, mobile and call center advertising revenue is recognized ratably over the contract term. Revenue from the sale of advertising in the </w:t>
      </w:r>
      <w:r>
        <w:rPr>
          <w:rFonts w:ascii="Times New Roman" w:cs="Times New Roman" w:eastAsia="Times New Roman" w:hAnsi="Times New Roman"/>
          <w:sz w:val="18"/>
          <w:szCs w:val="18"/>
          <w:i w:val="1"/>
          <w:iCs w:val="1"/>
          <w:color w:val="auto"/>
        </w:rPr>
        <w:t>Angie’s List Magazine</w:t>
      </w:r>
      <w:r>
        <w:rPr>
          <w:rFonts w:ascii="Times New Roman" w:cs="Times New Roman" w:eastAsia="Times New Roman" w:hAnsi="Times New Roman"/>
          <w:sz w:val="18"/>
          <w:szCs w:val="18"/>
          <w:color w:val="auto"/>
        </w:rPr>
        <w:t xml:space="preserve"> is recognized in the period in which the publication is distributed. Professional membership subscription revenue is initially deferred upon receipt of payment and is recognized using the straight-line method over the applicable subscription period, which is typically one year. Angi prepaid consumer membership subscription fees are recognized as revenue using the straight-line method over the term of the applicable subscription period, which is typically one year.</w:t>
      </w:r>
    </w:p>
    <w:p>
      <w:pPr>
        <w:spacing w:after="0" w:line="19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Services</w:t>
      </w:r>
    </w:p>
    <w:p>
      <w:pPr>
        <w:spacing w:after="0" w:line="227"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Services revenue primarily reflects domestic revenue from pre-priced offerings by which the consumer requests services through an Angi platform and Angi engages a professional to perform the service. Consumers are billed when a job is started through the Services platform. Billing practices are governed by the contract terms of each project as negotiated with the consumer. Billings do not necessarily correlate with revenue recognized over time as this is based on the timing of when the consumer receives the promised services.</w:t>
      </w:r>
    </w:p>
    <w:p>
      <w:pPr>
        <w:spacing w:after="0" w:line="166" w:lineRule="exact"/>
        <w:rPr>
          <w:sz w:val="20"/>
          <w:szCs w:val="20"/>
          <w:color w:val="auto"/>
        </w:rPr>
      </w:pPr>
    </w:p>
    <w:p>
      <w:pPr>
        <w:ind w:right="20" w:firstLine="405"/>
        <w:spacing w:after="0" w:line="238" w:lineRule="auto"/>
        <w:rPr>
          <w:sz w:val="20"/>
          <w:szCs w:val="20"/>
          <w:color w:val="auto"/>
        </w:rPr>
      </w:pPr>
      <w:r>
        <w:rPr>
          <w:rFonts w:ascii="Times New Roman" w:cs="Times New Roman" w:eastAsia="Times New Roman" w:hAnsi="Times New Roman"/>
          <w:sz w:val="18"/>
          <w:szCs w:val="18"/>
          <w:color w:val="auto"/>
        </w:rPr>
        <w:t>From January 1, 2020 through December 31, 2022, Services recorded revenue on a gross basis. Effective January 1, 2023, Angi modified the Services terms and conditions so that the professional, rather than Angi, has the contractual relationship with the consumer to deliver the service and Angi's performance obligation to the consumer is to connect them with the professional. This change in contractual terms requires revenue to be reported as the net amount of what is received from the consumer after deducting the amounts owed to the professional providing the service effective for all arrangements entered into after December 31, 2022. There is no impact to operating loss or Adjusted EBITDA from this change in revenue recognition. For the year ended December 31, 2022, if Services revenue were recorded on a net basis, revenue would have been reduced by $242.6 million.</w:t>
      </w:r>
    </w:p>
    <w:p>
      <w:pPr>
        <w:spacing w:after="0" w:line="1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International</w:t>
      </w:r>
    </w:p>
    <w:p>
      <w:pPr>
        <w:spacing w:after="0" w:line="214" w:lineRule="exact"/>
        <w:rPr>
          <w:sz w:val="20"/>
          <w:szCs w:val="20"/>
          <w:color w:val="auto"/>
        </w:rPr>
      </w:pPr>
    </w:p>
    <w:p>
      <w:pPr>
        <w:ind w:right="720" w:firstLine="405"/>
        <w:spacing w:after="0" w:line="266" w:lineRule="auto"/>
        <w:rPr>
          <w:sz w:val="20"/>
          <w:szCs w:val="20"/>
          <w:color w:val="auto"/>
        </w:rPr>
      </w:pPr>
      <w:r>
        <w:rPr>
          <w:rFonts w:ascii="Times New Roman" w:cs="Times New Roman" w:eastAsia="Times New Roman" w:hAnsi="Times New Roman"/>
          <w:sz w:val="18"/>
          <w:szCs w:val="18"/>
          <w:color w:val="auto"/>
        </w:rPr>
        <w:t>International revenue primarily comprises consumer connection revenue for matches between consumers and professionals and membership subscription revenue from professionals.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IAC INC. AND SUBSIDIARIES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Care.com</w:t>
      </w:r>
    </w:p>
    <w:p>
      <w:pPr>
        <w:spacing w:after="0" w:line="202" w:lineRule="exact"/>
        <w:rPr>
          <w:sz w:val="20"/>
          <w:szCs w:val="20"/>
          <w:color w:val="auto"/>
        </w:rPr>
      </w:pPr>
    </w:p>
    <w:p>
      <w:pPr>
        <w:ind w:right="140" w:firstLine="405"/>
        <w:spacing w:after="0" w:line="237" w:lineRule="auto"/>
        <w:rPr>
          <w:sz w:val="20"/>
          <w:szCs w:val="20"/>
          <w:color w:val="auto"/>
        </w:rPr>
      </w:pPr>
      <w:r>
        <w:rPr>
          <w:rFonts w:ascii="Times New Roman" w:cs="Times New Roman" w:eastAsia="Times New Roman" w:hAnsi="Times New Roman"/>
          <w:sz w:val="18"/>
          <w:szCs w:val="18"/>
          <w:color w:val="auto"/>
        </w:rPr>
        <w:t>Care.com consists of consumer and enterprise revenue. Consumer revenue is primarily generated through subscription fees from families and caregivers, both domestically and internationally, for Care.com's suite of products and services. Consumer also includes revenue generated through Care.com's comprehensive household payroll and tax support services (</w:t>
      </w:r>
      <w:r>
        <w:rPr>
          <w:rFonts w:ascii="Times New Roman" w:cs="Times New Roman" w:eastAsia="Times New Roman" w:hAnsi="Times New Roman"/>
          <w:sz w:val="18"/>
          <w:szCs w:val="18"/>
          <w:i w:val="1"/>
          <w:iCs w:val="1"/>
          <w:color w:val="auto"/>
        </w:rPr>
        <w:t>HomePay</w:t>
      </w:r>
      <w:r>
        <w:rPr>
          <w:rFonts w:ascii="Times New Roman" w:cs="Times New Roman" w:eastAsia="Times New Roman" w:hAnsi="Times New Roman"/>
          <w:sz w:val="18"/>
          <w:szCs w:val="18"/>
          <w:color w:val="auto"/>
        </w:rPr>
        <w:t>), as well as through contracts with businesses that advertise through Care.com's platform. Subscription fees for consumer services are deferred and recognized over the applicable subscription period, which ranges from one month up to one year. Enterprise revenue is primarily generated through annual contracts with businesses (employers or re-sellers) that provide access to Care.com’s suite of products and services as an employee benefit. Fees from enterprise contracts include subscription revenue, which is deferred and recognized over the applicable subscription period, and backup care (including child, senior and pet) for employees, which is recognized upon delivery of service.</w:t>
      </w:r>
    </w:p>
    <w:p>
      <w:pPr>
        <w:spacing w:after="0" w:line="19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Search</w:t>
      </w:r>
    </w:p>
    <w:p>
      <w:pPr>
        <w:spacing w:after="0" w:line="229"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Ask Media Group revenue consists primarily of advertising revenue generated principally through the display of paid listings in response to search queries, as well as from display advertisements appearing alongside content on its various websites and, to a lesser extent, affiliate commerce commission revenue. Paid listings are advertisements displayed on search results pages that generally contain a link to advertiser websites. The majority of the paid listings displayed by Ask Media Group is supplied to us by Google Inc. (“Google”) pursuant to our services agreement with Google, dated as of October 26, 2015 and as subsequently amended (the “Services Agreement”), described below under “Services Agreement with Google.” Pursuant to this agreement, Ask Media Group businesses transmit search queries to Google, which in turn transmits a set of relevant and responsive paid listings back to these businesses for display in search results. This ad-serving process occurs independently of, but concurrently with, the generation of algorithmic search results for the same search queries. Google paid listings are displayed separately from algorithmic search results and are identified as sponsored listings on search results pages. Paid listings are priced on a price-per-click basis and when a user submits a search query through an Ask Media Group business and then clicks on a Google paid listing displayed in response to the query, Google bills the advertiser that purchased the paid listing and shares a portion of the fee charged to the advertiser with the Ask Media Group business. The Company recognizes paid listing revenue from Google when it delivers the user’s click. In cases where the user’s click is generated due to the efforts of a third-party distributor, we recognize the amount due from Google as revenue and record a revenue share or other payment obligation to the third-party distributor as traffic acquisition costs.</w:t>
      </w:r>
    </w:p>
    <w:p>
      <w:pPr>
        <w:spacing w:after="0" w:line="174" w:lineRule="exact"/>
        <w:rPr>
          <w:sz w:val="20"/>
          <w:szCs w:val="20"/>
          <w:color w:val="auto"/>
        </w:rPr>
      </w:pPr>
    </w:p>
    <w:p>
      <w:pPr>
        <w:ind w:right="220" w:firstLine="405"/>
        <w:spacing w:after="0" w:line="250" w:lineRule="auto"/>
        <w:rPr>
          <w:sz w:val="20"/>
          <w:szCs w:val="20"/>
          <w:color w:val="auto"/>
        </w:rPr>
      </w:pPr>
      <w:r>
        <w:rPr>
          <w:rFonts w:ascii="Times New Roman" w:cs="Times New Roman" w:eastAsia="Times New Roman" w:hAnsi="Times New Roman"/>
          <w:sz w:val="18"/>
          <w:szCs w:val="18"/>
          <w:color w:val="auto"/>
        </w:rPr>
        <w:t>Desktop revenue principally consists of advertising revenue generated principally through the display of paid listings in response to search queries. The majority of the paid listings displayed are supplied to us by Google in the manner, and pursuant to the services agreement with Google, described above.</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Emerging &amp; Other</w:t>
      </w:r>
    </w:p>
    <w:p>
      <w:pPr>
        <w:spacing w:after="0" w:line="216" w:lineRule="exact"/>
        <w:rPr>
          <w:sz w:val="20"/>
          <w:szCs w:val="20"/>
          <w:color w:val="auto"/>
        </w:rPr>
      </w:pPr>
    </w:p>
    <w:p>
      <w:pPr>
        <w:ind w:right="40" w:firstLine="405"/>
        <w:spacing w:after="0" w:line="245" w:lineRule="auto"/>
        <w:rPr>
          <w:sz w:val="20"/>
          <w:szCs w:val="20"/>
          <w:color w:val="auto"/>
        </w:rPr>
      </w:pPr>
      <w:r>
        <w:rPr>
          <w:rFonts w:ascii="Times New Roman" w:cs="Times New Roman" w:eastAsia="Times New Roman" w:hAnsi="Times New Roman"/>
          <w:sz w:val="18"/>
          <w:szCs w:val="18"/>
          <w:color w:val="auto"/>
        </w:rPr>
        <w:t>Vivian Health revenue consists of subscription and usage revenue, which is generated through recruiting agencies and other employers that seek access to qualified healthcare professionals. Subscription revenue is recognized at the earlier of the full delivery of the promised services or over the length of the subscription period. There is usage revenue when the usage is in excess of the allotted amount included in the subscription; the usage revenue is recognized in the period in which services were delivered.</w:t>
      </w:r>
    </w:p>
    <w:p>
      <w:pPr>
        <w:spacing w:after="0" w:line="194"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Revenue of IAC Films is generated primarily through media production and distribution and recognized when control is transferred to the customer to broadcast or exhibit.</w:t>
      </w:r>
    </w:p>
    <w:p>
      <w:pPr>
        <w:spacing w:after="0" w:line="162" w:lineRule="exact"/>
        <w:rPr>
          <w:sz w:val="20"/>
          <w:szCs w:val="20"/>
          <w:color w:val="auto"/>
        </w:rPr>
      </w:pPr>
    </w:p>
    <w:p>
      <w:pPr>
        <w:jc w:val="both"/>
        <w:ind w:right="400" w:firstLine="405"/>
        <w:spacing w:after="0" w:line="266" w:lineRule="auto"/>
        <w:rPr>
          <w:sz w:val="20"/>
          <w:szCs w:val="20"/>
          <w:color w:val="auto"/>
        </w:rPr>
      </w:pPr>
      <w:r>
        <w:rPr>
          <w:rFonts w:ascii="Times New Roman" w:cs="Times New Roman" w:eastAsia="Times New Roman" w:hAnsi="Times New Roman"/>
          <w:sz w:val="18"/>
          <w:szCs w:val="18"/>
          <w:color w:val="auto"/>
        </w:rPr>
        <w:t>The Daily Beast revenue consists of advertising revenue, which is generated primarily through display advertisements (sold directly and through programmatic advertising networks), and to a lesser extent, subscription revenue and affiliate commerce commission revenue. Fees related to display advertisements are recognized when an advertisement is displayed.</w:t>
      </w:r>
    </w:p>
    <w:p>
      <w:pPr>
        <w:spacing w:after="0" w:line="162" w:lineRule="exact"/>
        <w:rPr>
          <w:sz w:val="20"/>
          <w:szCs w:val="20"/>
          <w:color w:val="auto"/>
        </w:rPr>
      </w:pPr>
    </w:p>
    <w:p>
      <w:pPr>
        <w:ind w:right="40" w:firstLine="405"/>
        <w:spacing w:after="0" w:line="242" w:lineRule="auto"/>
        <w:rPr>
          <w:sz w:val="20"/>
          <w:szCs w:val="20"/>
          <w:color w:val="auto"/>
        </w:rPr>
      </w:pPr>
      <w:r>
        <w:rPr>
          <w:rFonts w:ascii="Times New Roman" w:cs="Times New Roman" w:eastAsia="Times New Roman" w:hAnsi="Times New Roman"/>
          <w:sz w:val="18"/>
          <w:szCs w:val="18"/>
          <w:color w:val="auto"/>
        </w:rPr>
        <w:t>Mosaic Group revenue for periods prior to its sale on February 14, 2024 primarily consisted of fees paid by subscribers for downloadable mobile applications distributed through the Apple App Store and Google Play Store and fees received directly from consumers, as well as display advertisements. Fees related to subscription downloadable mobile applications were initially deferred and generally recognized either over the term of the subscription period, which was up to one year or at the time of the sale when the software license was delivered. Fees related to display advertisements were recognized when an advertisement was displayed.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IAC INC. AND SUBSIDIARIES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right="300" w:firstLine="405"/>
        <w:spacing w:after="0" w:line="250" w:lineRule="auto"/>
        <w:rPr>
          <w:sz w:val="20"/>
          <w:szCs w:val="20"/>
          <w:color w:val="auto"/>
        </w:rPr>
      </w:pPr>
      <w:r>
        <w:rPr>
          <w:rFonts w:ascii="Times New Roman" w:cs="Times New Roman" w:eastAsia="Times New Roman" w:hAnsi="Times New Roman"/>
          <w:sz w:val="18"/>
          <w:szCs w:val="18"/>
          <w:color w:val="auto"/>
        </w:rPr>
        <w:t>Roofing revenue for periods prior to its sale on November 1, 2023 primarily consisted of revenue from the roof replacement business offering by which the consumer purchased services directly from the Roofing business and Roofing then engaged a professional to perform the service. Consumers typically paid when a job was completed and revenue was recognized based on the Company's progress in satisfying the roofing service.</w:t>
      </w:r>
    </w:p>
    <w:p>
      <w:pPr>
        <w:spacing w:after="0" w:line="177" w:lineRule="exact"/>
        <w:rPr>
          <w:sz w:val="20"/>
          <w:szCs w:val="20"/>
          <w:color w:val="auto"/>
        </w:rPr>
      </w:pPr>
    </w:p>
    <w:p>
      <w:pPr>
        <w:ind w:right="140" w:firstLine="405"/>
        <w:spacing w:after="0" w:line="266" w:lineRule="auto"/>
        <w:rPr>
          <w:sz w:val="20"/>
          <w:szCs w:val="20"/>
          <w:color w:val="auto"/>
        </w:rPr>
      </w:pPr>
      <w:r>
        <w:rPr>
          <w:rFonts w:ascii="Times New Roman" w:cs="Times New Roman" w:eastAsia="Times New Roman" w:hAnsi="Times New Roman"/>
          <w:sz w:val="18"/>
          <w:szCs w:val="18"/>
          <w:color w:val="auto"/>
        </w:rPr>
        <w:t>Bluecrew revenue for periods prior to its sale on November 9, 2022 consisted of service revenue, which was generated through staffing workers and recognized as control of the promised services was transferred to our customers.</w:t>
      </w:r>
    </w:p>
    <w:p>
      <w:pPr>
        <w:spacing w:after="0" w:line="1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 of the Allowance for Credit Losses</w:t>
      </w:r>
    </w:p>
    <w:p>
      <w:pPr>
        <w:spacing w:after="0" w:line="229"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color w:val="auto"/>
        </w:rPr>
        <w:t>Accounts receivable include amounts billed and currently due from customers. The allowance for credit losses is based upon a number of factors, including the length of time accounts receivable are past due, the Company’s previous loss history, the specific customer’s ability to pay its obligation and any other forward-looking data regarding customers' ability to pay that is available. Customer payments that are not collected in advance of the transfer of promised services or goods are generally due no later than 30 days from the invoice date, with the exception of invoices at Dotdash Meredith, which vary by revenue stream as described above.</w:t>
      </w:r>
    </w:p>
    <w:p>
      <w:pPr>
        <w:spacing w:after="0" w:line="1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229" w:lineRule="exact"/>
        <w:rPr>
          <w:sz w:val="20"/>
          <w:szCs w:val="20"/>
          <w:color w:val="auto"/>
        </w:rPr>
      </w:pPr>
    </w:p>
    <w:p>
      <w:pPr>
        <w:ind w:right="120" w:firstLine="405"/>
        <w:spacing w:after="0" w:line="253" w:lineRule="auto"/>
        <w:rPr>
          <w:sz w:val="20"/>
          <w:szCs w:val="20"/>
          <w:color w:val="auto"/>
        </w:rPr>
      </w:pPr>
      <w:r>
        <w:rPr>
          <w:rFonts w:ascii="Times New Roman" w:cs="Times New Roman" w:eastAsia="Times New Roman" w:hAnsi="Times New Roman"/>
          <w:sz w:val="18"/>
          <w:szCs w:val="18"/>
          <w:color w:val="auto"/>
        </w:rPr>
        <w:t>Deferred revenue consists of payments that are received or are contractually due in advance of the Company’s performance obligation. The Company’s deferred revenue is reported on a contract-by-contract basis at the end of each reporting period. The Company classifies deferred revenue as current when the remaining term or expected completion of its performance obligation is one year or less. The current and non-current deferred revenue balances were $98.6 million and $0.1 million, respectively, at December 31, 2024, and $143.4 million and $0.1 million, respectively, at December 31, 2023. During the year ended December 31, 2024, the Company recognized $112.7 million of revenue that was included in the deferred revenue balance at December 31, 2023. The change in the deferred revenue balance from December 31, 2023 to December 31, 2024 also reflects a further reduction of $24.5 million related to the sale of assets of Mosaic Group on February, 15, 2024. During the year ended December 31, 2023, the Company recognized $152.7 million of revenue that was included in the deferred revenue balance at December 31, 2022. The current and non-current deferred revenue balances were $157.1 million and $0.2 million, respectively, at December 31, 2022. Non-current deferred revenue is included in “Other long-term liabilities” in the balance sheet.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Cash and cash equivalents include cash and short-term investments, with maturities of less than 91 days from the date of purchase. Domestically, cash equivalents primarily consist of AAA rated government money market funds and treasury bills. Internationally, cash equivalents primarily consist of AAA rated government money market funds and time deposits.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for Investments in Marketable Debt Securities</w:t>
      </w:r>
    </w:p>
    <w:p>
      <w:pPr>
        <w:spacing w:after="0" w:line="229" w:lineRule="exact"/>
        <w:rPr>
          <w:sz w:val="20"/>
          <w:szCs w:val="20"/>
          <w:color w:val="auto"/>
        </w:rPr>
      </w:pPr>
    </w:p>
    <w:p>
      <w:pPr>
        <w:ind w:right="60" w:firstLine="405"/>
        <w:spacing w:after="0" w:line="253" w:lineRule="auto"/>
        <w:rPr>
          <w:sz w:val="20"/>
          <w:szCs w:val="20"/>
          <w:color w:val="auto"/>
        </w:rPr>
      </w:pPr>
      <w:r>
        <w:rPr>
          <w:rFonts w:ascii="Times New Roman" w:cs="Times New Roman" w:eastAsia="Times New Roman" w:hAnsi="Times New Roman"/>
          <w:sz w:val="18"/>
          <w:szCs w:val="18"/>
          <w:color w:val="auto"/>
        </w:rPr>
        <w:t>At times, the Company invests in marketable debt securities with active secondary or resale markets to ensure portfolio liquidity to fund current operations or satisfy other cash requirements as needed. Marketable debt securities are adjusted to fair value each quarter, and the unrealized gains and losses, net of tax, are included in accumulated other comprehensive (loss) income as a separate component of shareholders’ equity. The specific-identification method is used to determine the cost of debt securities sold and the amount of unrealized gains and losses reclassified out of accumulated other comprehensive (loss) income into earnings. The Company also invests in non-marketable debt securities as part of its investment strategy. We review our debt securities for impairment each reporting period. The Company recognizes an unrealized loss on debt securities in net earnings when the impairment is determined to be other-than-temporary. Factors we consider in making such a determination include the duration, severity and reason for the decline in value and the potential recovery and our intent to sell the debt security. We also consider whether we will be required to sell the security before recovery of its amortized cost basis and whether the amortized cost basis cannot be recovered because of credit losses. If an impairment is considered to be other-than-temporary, the debt security will be written down to its fair value and the loss will be recognized within “Other (expense) income, net” in the statement of operations. At December 31, 2024 there were no marketable debt securities. At December 31, 2023 marketable debt securities consist of treasury bills of $149.0 million.</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IAC INC. AND SUBSIDIARIES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Risks and Concentrations</w:t>
      </w:r>
    </w:p>
    <w:p>
      <w:pPr>
        <w:spacing w:after="0" w:line="2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Services Agreement with Google</w:t>
      </w:r>
    </w:p>
    <w:p>
      <w:pPr>
        <w:spacing w:after="0" w:line="216"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On January 20, 2025, the Company entered into a further amendment to its Services Agreement (the “Amendment”), with the amended terms to be effective on April 1, 2025. Following the execution of the Amendment, the expiration date of the Services Agreement was extended from March 31, 2025 to March 31, 2026, with an automatic renewal for an additional one-year period absent a notice of non-renewal from either party on or before December 31, 2025. The Company earns certain other advertising revenue from Google that is not attributable to the Services Agreement. A portion of the Company’s net cash from operating activities that it can freely access is attributable to revenue earned pursuant to the Services Agreement and other revenue earned from Google.</w:t>
      </w:r>
    </w:p>
    <w:p>
      <w:pPr>
        <w:spacing w:after="0" w:line="187" w:lineRule="exact"/>
        <w:rPr>
          <w:sz w:val="20"/>
          <w:szCs w:val="20"/>
          <w:color w:val="auto"/>
        </w:rPr>
      </w:pPr>
    </w:p>
    <w:p>
      <w:pPr>
        <w:ind w:right="160" w:firstLine="405"/>
        <w:spacing w:after="0" w:line="255" w:lineRule="auto"/>
        <w:rPr>
          <w:sz w:val="20"/>
          <w:szCs w:val="20"/>
          <w:color w:val="auto"/>
        </w:rPr>
      </w:pPr>
      <w:r>
        <w:rPr>
          <w:rFonts w:ascii="Times New Roman" w:cs="Times New Roman" w:eastAsia="Times New Roman" w:hAnsi="Times New Roman"/>
          <w:sz w:val="18"/>
          <w:szCs w:val="18"/>
          <w:color w:val="auto"/>
        </w:rPr>
        <w:t>The Services Agreement requires that the Company comply with certain guidelines promulgated by Google. Google may generally unilaterally update its policies and guidelines without advance notice. These updates may be specific to the Services Agreement or could be more general and thereby impact the Company as well as other companies. These policy and guideline updates have in the past (and could in the future) require modifications to, or prohibit and/or render obsolete certain of our products, services and/or business practices, which have negatively impacted revenue and been costly to address (and could in the future), which have had and could have an adverse effect on our business, financial condition and results of operations. Further, changes to certain of the economic terms of the Services Agreement will become effective April 1, 2025 and the Company expects this could negatively impact Search revenue.</w:t>
      </w:r>
    </w:p>
    <w:p>
      <w:pPr>
        <w:spacing w:after="0" w:line="189"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For the years ended December 31, 2024, 2023 and 2022, total revenue earned from Google was $503.5 million, $715.0 million and $701.5 million, respectively, representing 13%, 16% and 13%, respectively, of the Company's revenue. The related accounts receivable totaled $43.7 million and $52.2 million at December 31, 2024 and 2023, respectively. The revenue attributable to the Services Agreement is earned at Search and, for the years ended December 31, 2024, 2023 and 2022, was $375.4 million, $574.3 million and $514.8 million, respectively, representing 10%, 13% and 10%, respectively, of the Company's total revenue.</w:t>
      </w:r>
    </w:p>
    <w:p>
      <w:pPr>
        <w:spacing w:after="0" w:line="16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Equity Price Risk</w:t>
      </w:r>
    </w:p>
    <w:p>
      <w:pPr>
        <w:spacing w:after="0" w:line="202" w:lineRule="exact"/>
        <w:rPr>
          <w:sz w:val="20"/>
          <w:szCs w:val="20"/>
          <w:color w:val="auto"/>
        </w:rPr>
      </w:pPr>
    </w:p>
    <w:p>
      <w:pPr>
        <w:ind w:right="80" w:firstLine="445"/>
        <w:spacing w:after="0" w:line="229" w:lineRule="auto"/>
        <w:rPr>
          <w:sz w:val="20"/>
          <w:szCs w:val="20"/>
          <w:color w:val="auto"/>
        </w:rPr>
      </w:pPr>
      <w:r>
        <w:rPr>
          <w:rFonts w:ascii="Times New Roman" w:cs="Times New Roman" w:eastAsia="Times New Roman" w:hAnsi="Times New Roman"/>
          <w:sz w:val="18"/>
          <w:szCs w:val="18"/>
          <w:color w:val="auto"/>
        </w:rPr>
        <w:t>At December 31, 2024, the Company owns 64.7 million common shares of MGM, which represents 22.0% of MGM's common shares outstanding. In the fourth quarter of 2023, MGM's ongoing share repurchase program passively increased the Company's ownership interest in MGM and the Company determined that the equity method of accounting applied and elected to account for its investment in MGM pursuant to the fair value option. Prior to the fourth quarter of 2023, the Company's investment in MGM was accounted for as an equity security with a readily determinable fair value, with changes in fair value recognized through income each period. Since the Company has always marked its investment in MGM to fair value through income each period, the election of the fair value option resulted in no change to the accounting for its investment in MGM. For the years ended December 31, 2024, 2023 and 2022, the Company recorded unrealized pre-tax (losses) gains from its investment in MGM in its statement of operations of $(649.2) million, $721.7 million and $(723.5) million, respectively.</w:t>
      </w:r>
    </w:p>
    <w:p>
      <w:pPr>
        <w:spacing w:after="0" w:line="81" w:lineRule="exact"/>
        <w:rPr>
          <w:sz w:val="20"/>
          <w:szCs w:val="20"/>
          <w:color w:val="auto"/>
        </w:rPr>
      </w:pPr>
    </w:p>
    <w:p>
      <w:pPr>
        <w:ind w:right="40" w:firstLine="445"/>
        <w:spacing w:after="0" w:line="256" w:lineRule="auto"/>
        <w:rPr>
          <w:sz w:val="20"/>
          <w:szCs w:val="20"/>
          <w:color w:val="auto"/>
        </w:rPr>
      </w:pPr>
      <w:r>
        <w:rPr>
          <w:rFonts w:ascii="Times New Roman" w:cs="Times New Roman" w:eastAsia="Times New Roman" w:hAnsi="Times New Roman"/>
          <w:sz w:val="18"/>
          <w:szCs w:val="18"/>
          <w:color w:val="auto"/>
        </w:rPr>
        <w:t>The cumulative unrealized net pre-tax gain at December 31, 2024 is $978.8 million. At December 31, 2024 and 2023, the carrying value of the Company's investment in MGM, which includes the cumulative unrealized pre-tax gains, was $2.2 billion and $2.9 billion, or approximately 23% and 28% of the Company’s consolidated total assets, respectively. A $2.00 increase or decrease in the share price of MGM would result in an unrealized gain or loss, respectively, of $129.4 million. At February 7, 2025, the fair value of the Company's investment in MGM was $2.2 billion. The Company’s results of operations and financial condition have in the past been and may in the future be materially impacted by increases or decreases in the price of MGM common shares, which are traded on the New York Stock Exchange.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IAC INC. AND SUBSIDIARIES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 xml:space="preserve">At December 31, 2024, the principal amount of the Company's outstanding debt totals $1.98 billion, of which $1.48 billion at Dotdash Meredith bears interest at a variable rate. Dotdash Meredith entered into interest rate swaps for a total notional amount of $350 million in March 2023. See “Interest Rate Swaps” below and </w:t>
      </w:r>
      <w:r>
        <w:rPr>
          <w:rFonts w:ascii="Times New Roman" w:cs="Times New Roman" w:eastAsia="Times New Roman" w:hAnsi="Times New Roman"/>
          <w:sz w:val="18"/>
          <w:szCs w:val="18"/>
          <w:u w:val="single" w:color="auto"/>
          <w:color w:val="0000FF"/>
        </w:rPr>
        <w:t>Note 6—Long-term Debt</w:t>
      </w:r>
      <w:r>
        <w:rPr>
          <w:rFonts w:ascii="Times New Roman" w:cs="Times New Roman" w:eastAsia="Times New Roman" w:hAnsi="Times New Roman"/>
          <w:sz w:val="18"/>
          <w:szCs w:val="18"/>
          <w:color w:val="auto"/>
        </w:rPr>
        <w:t xml:space="preserve"> for additional information. At December 31, 2024, the outstanding balance of $1.18 billion related to Dotdash Meredith Term Loan B-1 due December 1, 2028 (“Dotdash Meredith Term Loan B-1”) bore interest at an adjusted term secured overnight financing rate (“Adjusted SOFR”), subject to a minimum of 0.50%, plus 3.50%, or 8.05%, and the outstanding balance of $297.5 million related to Dotdash Meredith Term Loan A due December 1, 2026 (“Dotdash Meredith Term Loan A”) bore interest at Adjusted Term SOFR plus 2.25%, or 6.94%. If Adjusted Term SOFR were to increase or decrease by 100 basis points, the annual interest expense on Dotdash Meredith Term Loan A and Dotdash Meredith Term Loan B-1, net of the impact related to the $350 million in notional amount of interest rate swaps, would increase or decrease by $11.3 million.</w:t>
      </w:r>
    </w:p>
    <w:p>
      <w:pPr>
        <w:spacing w:after="0" w:line="17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216"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The Company has counterparty credit risk exposure to the private limited life insurance company, which issued the annuity contracts held by the IPC Pension Scheme (“IPC Plan”), which is the funded plan in the United Kingdom (“U.K.”), as well as certain financial institutions that are counterparties to the interest rate swaps. In addition, cash and cash equivalents are maintained with financial institutions and are in excess of any applicable third-party insurance limits, such as the Federal Deposit Insurance Corporation and the Securities Investor Protection Corporation.</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Other Risks</w:t>
      </w:r>
    </w:p>
    <w:p>
      <w:pPr>
        <w:spacing w:after="0" w:line="229" w:lineRule="exact"/>
        <w:rPr>
          <w:sz w:val="20"/>
          <w:szCs w:val="20"/>
          <w:color w:val="auto"/>
        </w:rPr>
      </w:pPr>
    </w:p>
    <w:p>
      <w:pPr>
        <w:ind w:right="760" w:firstLine="405"/>
        <w:spacing w:after="0" w:line="282" w:lineRule="auto"/>
        <w:rPr>
          <w:sz w:val="20"/>
          <w:szCs w:val="20"/>
          <w:color w:val="auto"/>
        </w:rPr>
      </w:pPr>
      <w:r>
        <w:rPr>
          <w:rFonts w:ascii="Times New Roman" w:cs="Times New Roman" w:eastAsia="Times New Roman" w:hAnsi="Times New Roman"/>
          <w:sz w:val="18"/>
          <w:szCs w:val="18"/>
          <w:color w:val="auto"/>
        </w:rPr>
        <w:t>The Company is subject to certain risks and concentrations including dependence on third-party technology providers and exposure to risks associated with online commerce security.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Buildings, Land, Capitalized Software, Equipment and Leasehold Improvements</w:t>
      </w:r>
    </w:p>
    <w:p>
      <w:pPr>
        <w:spacing w:after="0" w:line="229" w:lineRule="exact"/>
        <w:rPr>
          <w:sz w:val="20"/>
          <w:szCs w:val="20"/>
          <w:color w:val="auto"/>
        </w:rPr>
      </w:pPr>
    </w:p>
    <w:p>
      <w:pPr>
        <w:ind w:right="20" w:firstLine="405"/>
        <w:spacing w:after="0" w:line="260" w:lineRule="auto"/>
        <w:rPr>
          <w:sz w:val="20"/>
          <w:szCs w:val="20"/>
          <w:color w:val="auto"/>
        </w:rPr>
      </w:pPr>
      <w:r>
        <w:rPr>
          <w:rFonts w:ascii="Times New Roman" w:cs="Times New Roman" w:eastAsia="Times New Roman" w:hAnsi="Times New Roman"/>
          <w:sz w:val="18"/>
          <w:szCs w:val="18"/>
          <w:color w:val="auto"/>
        </w:rPr>
        <w:t>Buildings, land, capitalized software, equipment and leasehold improvements are recorded at cost or at fair value to the extent acquired in a business combination. Repairs and maintenance costs are expensed as incurred. Amortization of leasehold improvements, which is included in “Depreciation” in the statement of operations, and depreciation are computed using the straight-line method over the estimated useful lives of the assets, or, in the case of leasehold improvements, the lease term, if shorter.</w:t>
      </w:r>
    </w:p>
    <w:tbl>
      <w:tblPr>
        <w:tblLayout w:type="fixed"/>
        <w:tblInd w:w="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6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Asset Category</w:t>
            </w:r>
          </w:p>
        </w:tc>
        <w:tc>
          <w:tcPr>
            <w:tcW w:w="5100" w:type="dxa"/>
            <w:vAlign w:val="bottom"/>
          </w:tcPr>
          <w:p>
            <w:pPr>
              <w:jc w:val="center"/>
              <w:ind w:left="3356"/>
              <w:spacing w:after="0" w:line="150"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100" w:type="dxa"/>
            <w:vAlign w:val="bottom"/>
            <w:gridSpan w:val="2"/>
            <w:vMerge w:val="continue"/>
          </w:tcPr>
          <w:p>
            <w:pPr>
              <w:spacing w:after="0"/>
              <w:rPr>
                <w:sz w:val="12"/>
                <w:szCs w:val="12"/>
                <w:color w:val="auto"/>
              </w:rPr>
            </w:pPr>
          </w:p>
        </w:tc>
        <w:tc>
          <w:tcPr>
            <w:tcW w:w="5100" w:type="dxa"/>
            <w:vAlign w:val="bottom"/>
          </w:tcPr>
          <w:p>
            <w:pPr>
              <w:jc w:val="center"/>
              <w:ind w:left="3356"/>
              <w:spacing w:after="0" w:line="127" w:lineRule="exact"/>
              <w:rPr>
                <w:sz w:val="20"/>
                <w:szCs w:val="20"/>
                <w:color w:val="auto"/>
              </w:rPr>
            </w:pPr>
            <w:r>
              <w:rPr>
                <w:rFonts w:ascii="Times New Roman" w:cs="Times New Roman" w:eastAsia="Times New Roman" w:hAnsi="Times New Roman"/>
                <w:sz w:val="14"/>
                <w:szCs w:val="14"/>
                <w:b w:val="1"/>
                <w:bCs w:val="1"/>
                <w:color w:val="auto"/>
              </w:rPr>
              <w:t>Useful Lives</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5160" w:type="dxa"/>
            <w:vAlign w:val="bottom"/>
          </w:tcPr>
          <w:p>
            <w:pPr>
              <w:spacing w:after="0"/>
              <w:rPr>
                <w:sz w:val="2"/>
                <w:szCs w:val="2"/>
                <w:color w:val="auto"/>
              </w:rPr>
            </w:pPr>
          </w:p>
        </w:tc>
        <w:tc>
          <w:tcPr>
            <w:tcW w:w="5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w:t>
            </w:r>
          </w:p>
        </w:tc>
        <w:tc>
          <w:tcPr>
            <w:tcW w:w="5100" w:type="dxa"/>
            <w:vAlign w:val="bottom"/>
            <w:shd w:val="clear" w:color="auto" w:fill="CCEEFF"/>
          </w:tcPr>
          <w:p>
            <w:pPr>
              <w:jc w:val="center"/>
              <w:ind w:left="3356"/>
              <w:spacing w:after="0"/>
              <w:rPr>
                <w:sz w:val="20"/>
                <w:szCs w:val="20"/>
                <w:color w:val="auto"/>
              </w:rPr>
            </w:pPr>
            <w:r>
              <w:rPr>
                <w:rFonts w:ascii="Times New Roman" w:cs="Times New Roman" w:eastAsia="Times New Roman" w:hAnsi="Times New Roman"/>
                <w:sz w:val="18"/>
                <w:szCs w:val="18"/>
                <w:color w:val="auto"/>
                <w:w w:val="97"/>
              </w:rPr>
              <w:t>5 to 39 Years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Capitalized software</w:t>
            </w:r>
          </w:p>
        </w:tc>
        <w:tc>
          <w:tcPr>
            <w:tcW w:w="5100" w:type="dxa"/>
            <w:vAlign w:val="bottom"/>
          </w:tcPr>
          <w:p>
            <w:pPr>
              <w:jc w:val="center"/>
              <w:ind w:left="3356"/>
              <w:spacing w:after="0"/>
              <w:rPr>
                <w:sz w:val="20"/>
                <w:szCs w:val="20"/>
                <w:color w:val="auto"/>
              </w:rPr>
            </w:pPr>
            <w:r>
              <w:rPr>
                <w:rFonts w:ascii="Times New Roman" w:cs="Times New Roman" w:eastAsia="Times New Roman" w:hAnsi="Times New Roman"/>
                <w:sz w:val="18"/>
                <w:szCs w:val="18"/>
                <w:color w:val="auto"/>
                <w:w w:val="98"/>
              </w:rPr>
              <w:t>2 to 3 Years</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 (including furniture)</w:t>
            </w:r>
          </w:p>
        </w:tc>
        <w:tc>
          <w:tcPr>
            <w:tcW w:w="5100" w:type="dxa"/>
            <w:vAlign w:val="bottom"/>
            <w:shd w:val="clear" w:color="auto" w:fill="CCEEFF"/>
          </w:tcPr>
          <w:p>
            <w:pPr>
              <w:jc w:val="center"/>
              <w:ind w:left="3356"/>
              <w:spacing w:after="0"/>
              <w:rPr>
                <w:sz w:val="20"/>
                <w:szCs w:val="20"/>
                <w:color w:val="auto"/>
              </w:rPr>
            </w:pPr>
            <w:r>
              <w:rPr>
                <w:rFonts w:ascii="Times New Roman" w:cs="Times New Roman" w:eastAsia="Times New Roman" w:hAnsi="Times New Roman"/>
                <w:sz w:val="18"/>
                <w:szCs w:val="18"/>
                <w:color w:val="auto"/>
                <w:w w:val="97"/>
              </w:rPr>
              <w:t>3 to 12 Years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5100" w:type="dxa"/>
            <w:vAlign w:val="bottom"/>
          </w:tcPr>
          <w:p>
            <w:pPr>
              <w:jc w:val="center"/>
              <w:ind w:left="3356"/>
              <w:spacing w:after="0"/>
              <w:rPr>
                <w:sz w:val="20"/>
                <w:szCs w:val="20"/>
                <w:color w:val="auto"/>
              </w:rPr>
            </w:pPr>
            <w:r>
              <w:rPr>
                <w:rFonts w:ascii="Times New Roman" w:cs="Times New Roman" w:eastAsia="Times New Roman" w:hAnsi="Times New Roman"/>
                <w:sz w:val="18"/>
                <w:szCs w:val="18"/>
                <w:color w:val="auto"/>
                <w:w w:val="97"/>
              </w:rPr>
              <w:t>1 to 11 Years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IAC INC. AND SUBSIDIARIES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20" w:firstLine="405"/>
        <w:spacing w:after="0" w:line="261" w:lineRule="auto"/>
        <w:rPr>
          <w:sz w:val="20"/>
          <w:szCs w:val="20"/>
          <w:color w:val="auto"/>
        </w:rPr>
      </w:pPr>
      <w:r>
        <w:rPr>
          <w:rFonts w:ascii="Times New Roman" w:cs="Times New Roman" w:eastAsia="Times New Roman" w:hAnsi="Times New Roman"/>
          <w:sz w:val="18"/>
          <w:szCs w:val="18"/>
          <w:color w:val="auto"/>
        </w:rPr>
        <w:t>The Company capitalizes certain internal use software costs including external direct costs utilized in developing or obtaining the software and compensation for personnel directly associated with the development of the software. Capitalization of such costs begins when the preliminary project stage is complete and ceases when the project is substantially complete and ready for its intended purpose. The net book value of capitalized internal use software is $82.8 million and $109.7 million at December 31, 2024 and 2023,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229"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The purchase price of an acquisition is attributed to the assets acquired and liabilities assumed based on their fair values at the date of acquisition, including identifiable intangible assets that either arise from a contractual or legal right or are separable from goodwill. The Company usually obtains the assistance of outside valuation experts in the allocation of purchase price to the identifiable intangible assets acquired. While outside valuation experts may be used, management has the ultimate responsibility for the valuation methods, models and inputs used and the resulting purchase price allocation. The excess purchase price over the value of net tangible and identifiable intangible assets acquired is recorded as goodwill and is assigned to the reporting unit(s) that is expected to benefit from the business combination as of the acquisition date. There have been no acquisitions made since the 2021 acquisition of Meredith Holdings Corporation (“Meredith”), for which the allocation of purchase price to the assets acquired and liabilities assumed, the determination of the reporting units and the allocation of goodwill to the reporting units were finalized during the fourth quarter of 2022.</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Indefinite-Lived Intangible Assets</w:t>
      </w:r>
    </w:p>
    <w:p>
      <w:pPr>
        <w:spacing w:after="0" w:line="229" w:lineRule="exact"/>
        <w:rPr>
          <w:sz w:val="20"/>
          <w:szCs w:val="20"/>
          <w:color w:val="auto"/>
        </w:rPr>
      </w:pPr>
    </w:p>
    <w:p>
      <w:pPr>
        <w:ind w:right="200" w:firstLine="405"/>
        <w:spacing w:after="0" w:line="256" w:lineRule="auto"/>
        <w:rPr>
          <w:sz w:val="20"/>
          <w:szCs w:val="20"/>
          <w:color w:val="auto"/>
        </w:rPr>
      </w:pPr>
      <w:r>
        <w:rPr>
          <w:rFonts w:ascii="Times New Roman" w:cs="Times New Roman" w:eastAsia="Times New Roman" w:hAnsi="Times New Roman"/>
          <w:sz w:val="18"/>
          <w:szCs w:val="18"/>
          <w:color w:val="auto"/>
        </w:rPr>
        <w:t>Dotdash Meredith's operating segments and reporting units are Digital and Print. Angi's Ads and Leads, Services and International are separate operating segments and reporting units. Care.com and Search are separate operating segments and reporting units. Within Emerging &amp; Other, Mosaic Group (prior to the sale of its assets on February 15, 2024), Roofing (prior to its sale on November 1, 2023), Vivian Health, The Daily Beast, IAC Films, Newco (IAC's former incubator company) and Bluecrew (prior to its sale on November 9, 2022), are separate operating segments and reporting units. Goodwill is tested for impairment at the reporting unit level. See “</w:t>
      </w:r>
      <w:r>
        <w:rPr>
          <w:rFonts w:ascii="Times New Roman" w:cs="Times New Roman" w:eastAsia="Times New Roman" w:hAnsi="Times New Roman"/>
          <w:sz w:val="18"/>
          <w:szCs w:val="18"/>
          <w:u w:val="single" w:color="auto"/>
          <w:color w:val="0000FF"/>
        </w:rPr>
        <w:t>Note 9—Segment Information</w:t>
      </w:r>
      <w:r>
        <w:rPr>
          <w:rFonts w:ascii="Times New Roman" w:cs="Times New Roman" w:eastAsia="Times New Roman" w:hAnsi="Times New Roman"/>
          <w:sz w:val="18"/>
          <w:szCs w:val="18"/>
          <w:color w:val="auto"/>
        </w:rPr>
        <w:t>” for additional information regarding the Company's method of determining operating and reportable segments.</w:t>
      </w:r>
    </w:p>
    <w:p>
      <w:pPr>
        <w:spacing w:after="0" w:line="79"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The Company assesses goodwill and indefinite-lived intangible assets, which are certain trade names and trademarks, for impairment annually at October 1 or more frequently if an event occurs or circumstances change that would more likely than not reduce the fair value of a reporting unit or the fair value of an indefinite-lived intangible asset below its carrying value.</w:t>
      </w:r>
    </w:p>
    <w:p>
      <w:pPr>
        <w:spacing w:after="0" w:line="176"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When the Company elects to perform a qualitative assessment and concludes it is not more likely than not that the fair value of the reporting unit is less than its carrying value, no further assessment of that reporting unit's goodwill is necessary; otherwise, a quantitative assessment is performed and the fair value of the reporting unit is determined. If the carrying value of the reporting unit exceeds its estimated fair value, a goodwill impairment equal to the excess is recorded.</w:t>
      </w:r>
    </w:p>
    <w:p>
      <w:pPr>
        <w:spacing w:after="0" w:line="166" w:lineRule="exact"/>
        <w:rPr>
          <w:sz w:val="20"/>
          <w:szCs w:val="20"/>
          <w:color w:val="auto"/>
        </w:rPr>
      </w:pPr>
    </w:p>
    <w:p>
      <w:pPr>
        <w:ind w:right="100" w:firstLine="405"/>
        <w:spacing w:after="0" w:line="245" w:lineRule="auto"/>
        <w:rPr>
          <w:sz w:val="20"/>
          <w:szCs w:val="20"/>
          <w:color w:val="auto"/>
        </w:rPr>
      </w:pPr>
      <w:r>
        <w:rPr>
          <w:rFonts w:ascii="Times New Roman" w:cs="Times New Roman" w:eastAsia="Times New Roman" w:hAnsi="Times New Roman"/>
          <w:sz w:val="18"/>
          <w:szCs w:val="18"/>
          <w:color w:val="auto"/>
        </w:rPr>
        <w:t>For the Company's annual goodwill test as of October 1, 2024, qualitative assessments of the goodwill of the Dotdash Meredith Digital, Angi International and Vivian Health reporting units were performed because the Company concluded it was more likely than not that the fair value of these reporting units was in excess of their respective carrying values. The primary factors that the Company considered in its qualitative assessment for each of these reporting units are described below:</w:t>
      </w:r>
    </w:p>
    <w:p>
      <w:pPr>
        <w:spacing w:after="0" w:line="86" w:lineRule="exact"/>
        <w:rPr>
          <w:sz w:val="20"/>
          <w:szCs w:val="20"/>
          <w:color w:val="auto"/>
        </w:rPr>
      </w:pPr>
    </w:p>
    <w:p>
      <w:pPr>
        <w:ind w:left="660" w:right="80" w:hanging="328"/>
        <w:spacing w:after="0" w:line="258" w:lineRule="auto"/>
        <w:tabs>
          <w:tab w:leader="none" w:pos="6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considered the strong forecasted operating performance, in addition to actual operating results in the current year, of the Dotdash Meredith Digital reporting unit and, based on the Company's latest valuation prepared as of October 1, 2023, the excess of its estimated fair value of the reporting unit compared to its carrying value. The Company also considered the valuations of Dotdash Meredith as of December 31, 2023 and June 30, 2024 that were prepared in connection with the issuance and/or settlement of equity awards that are denominated in its equity. These valuations were prepared time proximate to, however, not as of, October 1, 2024.</w:t>
      </w:r>
    </w:p>
    <w:p>
      <w:pPr>
        <w:spacing w:after="0" w:line="75" w:lineRule="exact"/>
        <w:rPr>
          <w:rFonts w:ascii="Times New Roman" w:cs="Times New Roman" w:eastAsia="Times New Roman" w:hAnsi="Times New Roman"/>
          <w:sz w:val="18"/>
          <w:szCs w:val="18"/>
          <w:color w:val="auto"/>
        </w:rPr>
      </w:pPr>
    </w:p>
    <w:p>
      <w:pPr>
        <w:ind w:left="660" w:right="220" w:hanging="328"/>
        <w:spacing w:after="0" w:line="289" w:lineRule="auto"/>
        <w:tabs>
          <w:tab w:leader="none" w:pos="655"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prepared a valuation of the Angi International and Vivian Health reporting units primarily in connection with the issuance and/or settlement of equity awards that are denominated in the equity of these businesses as of June 30, 2024. These valuations were prepared time proximate to, however, not as of, October 1, 2024. The fair value of these businesses were in excess of their October 1, 2024 carrying values.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IAC INC. AND SUBSIDIARIES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40" w:firstLine="405"/>
        <w:spacing w:after="0" w:line="250" w:lineRule="auto"/>
        <w:rPr>
          <w:sz w:val="20"/>
          <w:szCs w:val="20"/>
          <w:color w:val="auto"/>
        </w:rPr>
      </w:pPr>
      <w:r>
        <w:rPr>
          <w:rFonts w:ascii="Times New Roman" w:cs="Times New Roman" w:eastAsia="Times New Roman" w:hAnsi="Times New Roman"/>
          <w:sz w:val="18"/>
          <w:szCs w:val="18"/>
          <w:color w:val="auto"/>
        </w:rPr>
        <w:t>For the Company's annual goodwill test at October 1, 2024, the Company quantitatively tested the Angi Ads and Leads, Angi Services, and Care.com reporting units. The Company's quantitative tests resulted in no impairments. The Company's remaining reporting units, Dotdash Meredith Print, Search, The Daily Beast and IAC Films, have no goodwill as of October 1, 2024.</w:t>
      </w:r>
    </w:p>
    <w:p>
      <w:pPr>
        <w:spacing w:after="0" w:line="55"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Given the decline in Angi's and the Company's stock prices after October 1, 2024, the Company subsequently quantitatively tested all reporting units with goodwill as of December 31, 2024 and no impairments were noted.</w:t>
      </w:r>
    </w:p>
    <w:p>
      <w:pPr>
        <w:spacing w:after="0" w:line="54" w:lineRule="exact"/>
        <w:rPr>
          <w:sz w:val="20"/>
          <w:szCs w:val="20"/>
          <w:color w:val="auto"/>
        </w:rPr>
      </w:pPr>
    </w:p>
    <w:p>
      <w:pPr>
        <w:jc w:val="both"/>
        <w:ind w:right="380" w:firstLine="405"/>
        <w:spacing w:after="0" w:line="250" w:lineRule="auto"/>
        <w:rPr>
          <w:sz w:val="20"/>
          <w:szCs w:val="20"/>
          <w:color w:val="auto"/>
        </w:rPr>
      </w:pPr>
      <w:r>
        <w:rPr>
          <w:rFonts w:ascii="Times New Roman" w:cs="Times New Roman" w:eastAsia="Times New Roman" w:hAnsi="Times New Roman"/>
          <w:sz w:val="18"/>
          <w:szCs w:val="18"/>
          <w:color w:val="auto"/>
        </w:rPr>
        <w:t>During the third quarter of 2023 and second quarter of 2022, the Company reassessed the fair value of the Mosaic Group reporting unit (included within Emerging &amp; Other) and recorded goodwill impairments of $9.0 million and $86.7 million, respectively, as a result of the projected reduction in future revenue and profits from the business and lower trading multiples of a selected peer group of companies.</w:t>
      </w:r>
    </w:p>
    <w:p>
      <w:pPr>
        <w:spacing w:after="0" w:line="69" w:lineRule="exact"/>
        <w:rPr>
          <w:sz w:val="20"/>
          <w:szCs w:val="20"/>
          <w:color w:val="auto"/>
        </w:rPr>
      </w:pPr>
    </w:p>
    <w:p>
      <w:pPr>
        <w:ind w:right="60" w:firstLine="405"/>
        <w:spacing w:after="0" w:line="250" w:lineRule="auto"/>
        <w:rPr>
          <w:sz w:val="20"/>
          <w:szCs w:val="20"/>
          <w:color w:val="auto"/>
        </w:rPr>
      </w:pPr>
      <w:r>
        <w:rPr>
          <w:rFonts w:ascii="Times New Roman" w:cs="Times New Roman" w:eastAsia="Times New Roman" w:hAnsi="Times New Roman"/>
          <w:sz w:val="18"/>
          <w:szCs w:val="18"/>
          <w:color w:val="auto"/>
        </w:rPr>
        <w:t>In the fourth quarter of 2022, prior to its sale in 2023, a quantitative assessment was performed on the Roofing reporting unit; this test resulted in a full impairment of $26.0 million due to Roofing exiting certain markets and a projected reduction in future profits from the business, which reduced its fair value.</w:t>
      </w:r>
    </w:p>
    <w:p>
      <w:pPr>
        <w:spacing w:after="0" w:line="6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There is no goodwill for which the most recent estimate of the excess of fair value over carrying value is less than 20%.</w:t>
      </w:r>
    </w:p>
    <w:p>
      <w:pPr>
        <w:spacing w:after="0" w:line="104" w:lineRule="exact"/>
        <w:rPr>
          <w:sz w:val="20"/>
          <w:szCs w:val="20"/>
          <w:color w:val="auto"/>
        </w:rPr>
      </w:pPr>
    </w:p>
    <w:p>
      <w:pPr>
        <w:ind w:firstLine="405"/>
        <w:spacing w:after="0" w:line="235" w:lineRule="auto"/>
        <w:rPr>
          <w:sz w:val="20"/>
          <w:szCs w:val="20"/>
          <w:color w:val="auto"/>
        </w:rPr>
      </w:pPr>
      <w:r>
        <w:rPr>
          <w:rFonts w:ascii="Times New Roman" w:cs="Times New Roman" w:eastAsia="Times New Roman" w:hAnsi="Times New Roman"/>
          <w:sz w:val="18"/>
          <w:szCs w:val="18"/>
          <w:color w:val="auto"/>
        </w:rPr>
        <w:t>The fair value of the Company's reporting units is determined using both an income approach based on discounted cash flows (“DCF”) and a market approach when it tests goodwill for impairment, either on an interim basis or annual basis as of October 1 each year. The Company uses the same approach in determining the fair value of its businesses in connection with its non-public subsidiary denominated stock-based compensation plans, which can be a significant factor in the decision to apply the qualitative assessment rather than a quantitative test. Determining fair value using a DCF analysis requires the exercise of significant judgment with respect to several items, including the amount and timing of expected future cash flows and appropriate discount rates. The expected cash flows used in the DCF analyses are based on the Company's most recent forecast and budget and, for years beyond the budget, the Company's estimates, which are based, in part, on forecasted growth rates. The discount rates used in the DCF analyses are intended to reflect the risks inherent in the expected future cash flows of the respective reporting units. Assumptions used in the DCF analyses, including the discount rate, are assessed based on each reporting unit's current results and forecasted future performance, as well as macroeconomic and industry specific factors. The discount rates used in the quantitative tests as of December 31, 2024 for determining the fair values of the Dotdash Meredith Digital, Angi Ads and Leads, Angi Services, Angi International, Care.com and Vivian Health reporting units were 14.5%, 13%, 14%, 15%, 14.5% and 23%, respectively. The discount rates used in the quantitative tests as of October 1, 2024 for determining the fair values of the Angi Ads and Leads, Angi Services and Care.com reporting units were 12.5%, 13.5% and 14%, respectively. The discount rates used in the quantitative tests as of October 1, 2023 for determining the fair value of the Company's Dotdash Meredith Digital, Care.com and Mosaic Group reporting unit were 15.5%, 16% and 16%, respectively. Determining fair value using a market approach considers multiples of financial metrics based on both acquisitions and trading multiples of a selected peer group of companies. From the comparable companies, a representative market multiple is determined, which is applied to financial metrics to estimate the fair value of a reporting unit. To determine a peer group of companies for our respective reporting units, we considered companies relevant in terms of consumer use, monetization model, margin and growth characteristics, and brand strength operating in their respective sectors.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IAC INC. AND SUBSIDIARIES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20" w:firstLine="405"/>
        <w:spacing w:after="0" w:line="242" w:lineRule="auto"/>
        <w:rPr>
          <w:sz w:val="20"/>
          <w:szCs w:val="20"/>
          <w:color w:val="auto"/>
        </w:rPr>
      </w:pPr>
      <w:r>
        <w:rPr>
          <w:rFonts w:ascii="Times New Roman" w:cs="Times New Roman" w:eastAsia="Times New Roman" w:hAnsi="Times New Roman"/>
          <w:sz w:val="18"/>
          <w:szCs w:val="18"/>
          <w:color w:val="auto"/>
        </w:rPr>
        <w:t>While the Company has the option to qualitatively assess whether it is more likely than not that the fair values of its indefinite-lived intangible assets are less than their carrying values, the Company's policy is to determine the fair value of each of its indefinite-lived intangible assets annually as of October 1, in part, because the level of effort required to perform the quantitative and qualitative assessments is essentially equivalent. The Company determines the fair value of indefinite-lived intangible assets using an avoided royalty DCF valuation analysis. Significant judgments inherent in this analysis include the selection of appropriate royalty and discount rates and estimating the amount and timing of expected future cash flows. The discount rates used in the DCF analyses are intended to reflect the risks inherent in the expected future cash flows generated by the respective intangible assets. The royalty rates used in the DCF analyses are based upon an estimate of the royalty rates that a market participant would pay to license the Company's trade names and trademarks. The future cash flows are based on the Company's most recent forecast and budget and, for years beyond the budget, the Company's estimates, which are based, in part, on forecasted growth rates. Assumptions used in the avoided royalty DCF analyses, including the discount rate and royalty rate, are assessed annually based on the actual and projected cash flows related to the asset, as well as macroeconomic and industry specific factors. The discount rates used in the Company's annual indefinite-lived impairment assessment ranged from 12.5% to 14.5% in 2024 and 15% to 17% in 2023, and the royalty rates used ranged from 2% to 8% in both 2024 and 2023.The October 1, 2023 annual quantitative assessment of indefinite-lived intangible assets identified an impairment of $79.9 million related to certain other indefinite-lived trade name intangible assets in the Dotdash Meredith Digital segment. The discount rate used to value these trade names was 15.5% and the royalty rate was 6%.</w:t>
      </w:r>
    </w:p>
    <w:p>
      <w:pPr>
        <w:spacing w:after="0" w:line="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In the fourth quarter of 2024, the Company identified an impairment charge of $2.6 million related to a certain indefinite-lived trade name at Angi Services. The discount rate used to value this trade name was 14.0% and the royalty rate was 2.5%.</w:t>
      </w:r>
    </w:p>
    <w:p>
      <w:pPr>
        <w:spacing w:after="0" w:line="40"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During the first quarter of 2024, the Company determined that a projected reduction in future revenue related to certain indefinite-lived trade name intangible assets with a carrying value of $20.7 million in the Dotdash Meredith Digital segment resulted in a change in classification to definite-lived intangible assets to be amortized over their respective useful lives. There was no impairment recorded in connection with the change in classification.</w:t>
      </w:r>
    </w:p>
    <w:p>
      <w:pPr>
        <w:spacing w:after="0" w:line="61" w:lineRule="exact"/>
        <w:rPr>
          <w:sz w:val="20"/>
          <w:szCs w:val="20"/>
          <w:color w:val="auto"/>
        </w:rPr>
      </w:pPr>
    </w:p>
    <w:p>
      <w:pPr>
        <w:jc w:val="both"/>
        <w:ind w:firstLine="405"/>
        <w:spacing w:after="0" w:line="246" w:lineRule="auto"/>
        <w:rPr>
          <w:sz w:val="20"/>
          <w:szCs w:val="20"/>
          <w:color w:val="auto"/>
        </w:rPr>
      </w:pPr>
      <w:r>
        <w:rPr>
          <w:rFonts w:ascii="Times New Roman" w:cs="Times New Roman" w:eastAsia="Times New Roman" w:hAnsi="Times New Roman"/>
          <w:sz w:val="18"/>
          <w:szCs w:val="18"/>
          <w:color w:val="auto"/>
        </w:rPr>
        <w:t>During the third quarter of 2023, the Company determined that a projected reduction in future revenue related to a certain indefinite-lived trade name intangible asset in the Dotdash Meredith Digital segment was an indicator of possible impairment. Following the identification of the indicator, the Company updated its calculation of the fair value of the indefinite-lived intangible asset and recorded an impairment of $7.6 million. The discount rate used to value the trade name was 16% and the royalty rate was 8%. A quantitative assessment of this indefinite-lived trade name intangible asset was prepared as of October 1, 2023; this test resulted in no additional impairment as its carrying value approximates its fair value.</w:t>
      </w:r>
    </w:p>
    <w:p>
      <w:pPr>
        <w:spacing w:after="0" w:line="87" w:lineRule="exact"/>
        <w:rPr>
          <w:sz w:val="20"/>
          <w:szCs w:val="20"/>
          <w:color w:val="auto"/>
        </w:rPr>
      </w:pPr>
    </w:p>
    <w:p>
      <w:pPr>
        <w:jc w:val="both"/>
        <w:ind w:right="220" w:firstLine="405"/>
        <w:spacing w:after="0" w:line="250" w:lineRule="auto"/>
        <w:rPr>
          <w:sz w:val="20"/>
          <w:szCs w:val="20"/>
          <w:color w:val="auto"/>
        </w:rPr>
      </w:pPr>
      <w:r>
        <w:rPr>
          <w:rFonts w:ascii="Times New Roman" w:cs="Times New Roman" w:eastAsia="Times New Roman" w:hAnsi="Times New Roman"/>
          <w:sz w:val="18"/>
          <w:szCs w:val="18"/>
          <w:color w:val="auto"/>
        </w:rPr>
        <w:t>If the carrying value of an indefinite-lived intangible asset exceeds its estimated fair value, an impairment equal to the excess is recorded. There is one indefinite-lived intangible asset at Angi Services with a value of approximately $16.2 million for which the most recent estimate of the excess of fair value over carrying value is less than 20%.</w:t>
      </w:r>
    </w:p>
    <w:p>
      <w:pPr>
        <w:spacing w:after="0" w:line="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impairment of indefinite-lived intangible assets are included in “Amortization of intangibles” in the statement of operations.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Long-Lived Assets</w:t>
      </w:r>
    </w:p>
    <w:p>
      <w:pPr>
        <w:spacing w:after="0" w:line="229" w:lineRule="exact"/>
        <w:rPr>
          <w:sz w:val="20"/>
          <w:szCs w:val="20"/>
          <w:color w:val="auto"/>
        </w:rPr>
      </w:pPr>
    </w:p>
    <w:p>
      <w:pPr>
        <w:ind w:right="220" w:firstLine="405"/>
        <w:spacing w:after="0" w:line="261" w:lineRule="auto"/>
        <w:rPr>
          <w:sz w:val="20"/>
          <w:szCs w:val="20"/>
          <w:color w:val="auto"/>
        </w:rPr>
      </w:pPr>
      <w:r>
        <w:rPr>
          <w:rFonts w:ascii="Times New Roman" w:cs="Times New Roman" w:eastAsia="Times New Roman" w:hAnsi="Times New Roman"/>
          <w:sz w:val="18"/>
          <w:szCs w:val="18"/>
          <w:color w:val="auto"/>
        </w:rPr>
        <w:t>Long-lived assets, other than goodwill and indefinite-lived intangible assets, are reviewed for impairment whenever events or changes in circumstances indicate that the carrying value of an asset may not be recoverable. The carrying value of a long-lived asset is not recoverable if it exceeds the sum of the undiscounted cash flows expected to result from the use and eventual disposition of the asset. If the carrying value is deemed not to be recoverable, an impairment loss is recorded equal to the amount by which the carrying value of the long-lived asset exceeds its fair value.</w:t>
      </w:r>
    </w:p>
    <w:p>
      <w:pPr>
        <w:spacing w:after="0" w:line="180"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During the first quarter of 2023, due to the continued decline in the commercial real estate market, Dotdash Meredith recorded impairment charges of $70.0 million related to certain unoccupied leased office space consisting of impairments of $44.7 million and $25.3 million of an ROU asset and related leasehold improvements, furniture and equipment, respectively.</w:t>
      </w:r>
    </w:p>
    <w:p>
      <w:pPr>
        <w:spacing w:after="0" w:line="176" w:lineRule="exact"/>
        <w:rPr>
          <w:sz w:val="20"/>
          <w:szCs w:val="20"/>
          <w:color w:val="auto"/>
        </w:rPr>
      </w:pPr>
    </w:p>
    <w:p>
      <w:pPr>
        <w:ind w:right="60" w:firstLine="405"/>
        <w:spacing w:after="0" w:line="272" w:lineRule="auto"/>
        <w:rPr>
          <w:sz w:val="20"/>
          <w:szCs w:val="20"/>
          <w:color w:val="auto"/>
        </w:rPr>
      </w:pPr>
      <w:r>
        <w:rPr>
          <w:rFonts w:ascii="Times New Roman" w:cs="Times New Roman" w:eastAsia="Times New Roman" w:hAnsi="Times New Roman"/>
          <w:sz w:val="17"/>
          <w:szCs w:val="17"/>
          <w:color w:val="auto"/>
        </w:rPr>
        <w:t>During the third quarter of 2022, Dotdash Meredith recorded impairment charges of $21.3 million related to the consolidation of certain leased spaces following the Meredith acquisition consisting of impairments of $14.3 million and $7.0 million of an ROU asset and related leasehold improvements, furniture and equipment, respectively. See “</w:t>
      </w:r>
      <w:r>
        <w:rPr>
          <w:rFonts w:ascii="Times New Roman" w:cs="Times New Roman" w:eastAsia="Times New Roman" w:hAnsi="Times New Roman"/>
          <w:sz w:val="17"/>
          <w:szCs w:val="17"/>
          <w:u w:val="single" w:color="auto"/>
          <w:color w:val="0000FF"/>
        </w:rPr>
        <w:t>Note 17—Dotdash Meredith Restructuring Charges, Transaction-Related Expenses and Change-in-Control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Payments</w:t>
      </w:r>
      <w:r>
        <w:rPr>
          <w:rFonts w:ascii="Times New Roman" w:cs="Times New Roman" w:eastAsia="Times New Roman" w:hAnsi="Times New Roman"/>
          <w:sz w:val="18"/>
          <w:szCs w:val="18"/>
          <w:color w:val="000000"/>
        </w:rPr>
        <w:t>”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IAC INC. AND SUBSIDIARIES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The impairment charges related to ROU assets are included in “General and administrative expense” and the impairment charges related to leasehold improvements, furniture and equipment are included in “Depreciation” in the statement of operations. The impairment charges represent the amount by which the carrying value of the asset group exceeded its estimated fair value, calculated using a DCF approach using sublease market assumptions of the expected cash flows and discount rate. The impairment charges were allocated between the ROU assets and related leasehold improvements, furniture and equipment of the asset group based on their relative carrying values.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for Investments in Equity Securities</w:t>
      </w:r>
    </w:p>
    <w:p>
      <w:pPr>
        <w:spacing w:after="0" w:line="229" w:lineRule="exact"/>
        <w:rPr>
          <w:sz w:val="20"/>
          <w:szCs w:val="20"/>
          <w:color w:val="auto"/>
        </w:rPr>
      </w:pPr>
    </w:p>
    <w:p>
      <w:pPr>
        <w:ind w:right="40" w:firstLine="405"/>
        <w:spacing w:after="0" w:line="253" w:lineRule="auto"/>
        <w:rPr>
          <w:sz w:val="20"/>
          <w:szCs w:val="20"/>
          <w:color w:val="auto"/>
        </w:rPr>
      </w:pPr>
      <w:r>
        <w:rPr>
          <w:rFonts w:ascii="Times New Roman" w:cs="Times New Roman" w:eastAsia="Times New Roman" w:hAnsi="Times New Roman"/>
          <w:sz w:val="18"/>
          <w:szCs w:val="18"/>
          <w:color w:val="auto"/>
        </w:rPr>
        <w:t xml:space="preserve">The Company's equity securities, other than those of its consolidated subsidiaries and those accounted for under the equity method, are accounted for at fair value or under the measurement alternative in accordance with ASC Subtopic 321, </w:t>
      </w:r>
      <w:r>
        <w:rPr>
          <w:rFonts w:ascii="Times New Roman" w:cs="Times New Roman" w:eastAsia="Times New Roman" w:hAnsi="Times New Roman"/>
          <w:sz w:val="18"/>
          <w:szCs w:val="18"/>
          <w:i w:val="1"/>
          <w:iCs w:val="1"/>
          <w:color w:val="auto"/>
        </w:rPr>
        <w:t>Investments - Equity Securities</w:t>
      </w:r>
      <w:r>
        <w:rPr>
          <w:rFonts w:ascii="Times New Roman" w:cs="Times New Roman" w:eastAsia="Times New Roman" w:hAnsi="Times New Roman"/>
          <w:sz w:val="18"/>
          <w:szCs w:val="18"/>
          <w:color w:val="auto"/>
        </w:rPr>
        <w:t>, with any changes to fair value recognized in “Other income (expense), net” in the statement of operations each reporting period. Under the measurement alternative, equity investments without readily determinable fair values are carried at cost minus impairment, if any, plus or minus changes resulting from observable price changes in orderly transactions for identical or similar securities of the same issuer; fair value is generally determined based on a market approach as of the transaction date. A security will be considered identical or similar if it has identical or similar rights to the equity securities held by the Company. The Company reviews its investments in equity securities without readily determinable fair values for impairment each reporting period when there are qualitative factors or events that indicate possible impairment. Factors the Company considers in making this determination include negative changes in industry and market conditions, financial performance, business prospects, and other relevant events and factors. When indicators of impairment exist, the Company prepares quantitative assessments of the fair value of its investments in equity securities, which require judgment and the use of estimates. When the Company's assessment indicates that the fair value of the investment is below its carrying value, the Company writes down the investment to its fair value and records the corresponding charge in “Other income (expense), net” in the statement of operations.</w:t>
      </w:r>
    </w:p>
    <w:p>
      <w:pPr>
        <w:spacing w:after="0" w:line="190"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As described above under “Equity Price Risk”, in the fourth quarter of 2023, MGM's ongoing share repurchase program passively increased the Company's ownership interest in MGM and the Company determined that the equity method of accounting applied and the Company elected to account for its investment in MGM pursuant to the fair value option.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The Company categorizes its financial instruments measured at fair value into a fair value hierarchy that prioritizes the inputs used in pricing the asset or liability. The three levels of the fair value hierarchy are:</w:t>
      </w:r>
    </w:p>
    <w:p>
      <w:pPr>
        <w:spacing w:after="0" w:line="162" w:lineRule="exact"/>
        <w:rPr>
          <w:sz w:val="20"/>
          <w:szCs w:val="20"/>
          <w:color w:val="auto"/>
        </w:rPr>
      </w:pPr>
    </w:p>
    <w:p>
      <w:pPr>
        <w:ind w:left="660" w:hanging="247"/>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Observable inputs obtained from independent sources, such as quoted market prices for identical assets and liabilities in active markets.</w:t>
      </w:r>
    </w:p>
    <w:p>
      <w:pPr>
        <w:spacing w:after="0" w:line="211" w:lineRule="exact"/>
        <w:rPr>
          <w:rFonts w:ascii="Times New Roman" w:cs="Times New Roman" w:eastAsia="Times New Roman" w:hAnsi="Times New Roman"/>
          <w:sz w:val="18"/>
          <w:szCs w:val="18"/>
          <w:color w:val="auto"/>
        </w:rPr>
      </w:pPr>
    </w:p>
    <w:p>
      <w:pPr>
        <w:ind w:left="660" w:hanging="247"/>
        <w:spacing w:after="0" w:line="239"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Other inputs, which are observable directly or indirectly, such as quoted market prices for similar assets or liabilities in active markets, quoted market prices for identical or similar assets or liabilities in markets that are not active and inputs that are derived principally from or corroborated by observable market data. The fair values of the Company’s Level 2 financial assets are primarily obtained from observable market prices for identical underlying securities that may not be actively traded. Certain of these securities may have different market prices from multiple market data sources, in which case an average market price is used.</w:t>
      </w:r>
    </w:p>
    <w:p>
      <w:pPr>
        <w:spacing w:after="0" w:line="224" w:lineRule="exact"/>
        <w:rPr>
          <w:rFonts w:ascii="Times New Roman" w:cs="Times New Roman" w:eastAsia="Times New Roman" w:hAnsi="Times New Roman"/>
          <w:sz w:val="18"/>
          <w:szCs w:val="18"/>
          <w:color w:val="auto"/>
        </w:rPr>
      </w:pPr>
    </w:p>
    <w:p>
      <w:pPr>
        <w:ind w:left="660" w:right="100" w:hanging="247"/>
        <w:spacing w:after="0" w:line="266"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for which there is little or no market data and require the Company to develop its own assumptions, based on the best information available in the circumstances, about the assumptions market participants would use in pricing the assets or liabilities. See “</w:t>
      </w:r>
      <w:r>
        <w:rPr>
          <w:rFonts w:ascii="Times New Roman" w:cs="Times New Roman" w:eastAsia="Times New Roman" w:hAnsi="Times New Roman"/>
          <w:sz w:val="18"/>
          <w:szCs w:val="18"/>
          <w:u w:val="single" w:color="auto"/>
          <w:color w:val="0000FF"/>
        </w:rPr>
        <w:t>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3—Financial Instruments and Fair Value Measurements</w:t>
      </w:r>
      <w:r>
        <w:rPr>
          <w:rFonts w:ascii="Times New Roman" w:cs="Times New Roman" w:eastAsia="Times New Roman" w:hAnsi="Times New Roman"/>
          <w:sz w:val="18"/>
          <w:szCs w:val="18"/>
          <w:color w:val="000000"/>
        </w:rPr>
        <w:t>” for a discussion of fair value measurements made using Level 3 inputs.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IAC INC. AND SUBSIDIARIES</w:t>
      </w:r>
    </w:p>
    <w:p>
      <w:pPr>
        <w:spacing w:after="0" w:line="1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Assets measured at fair value on a nonrecurring basis</w:t>
      </w:r>
    </w:p>
    <w:p>
      <w:pPr>
        <w:spacing w:after="0" w:line="229"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The Company's non-financial assets, such as goodwill, intangible assets, ROU assets, buildings, capitalized software, equipment and leasehold improvements are adjusted to fair value only when an impairment is recognized. The Company's financial assets, comprising equity securities without readily determinable fair values, are adjusted to fair value when observable price changes are identified or an impairment is recognized. Such fair value measurements are based predominantly on Level 3 inputs. Refer to “Goodwill and Indefinite-Lived Intangible Assets” and “Long-Lived Assets” above for a description of impairment charges.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Advertising Costs</w:t>
      </w:r>
    </w:p>
    <w:p>
      <w:pPr>
        <w:spacing w:after="0" w:line="216" w:lineRule="exact"/>
        <w:rPr>
          <w:sz w:val="20"/>
          <w:szCs w:val="20"/>
          <w:color w:val="auto"/>
        </w:rPr>
      </w:pPr>
    </w:p>
    <w:p>
      <w:pPr>
        <w:ind w:right="60" w:firstLine="405"/>
        <w:spacing w:after="0" w:line="239" w:lineRule="auto"/>
        <w:rPr>
          <w:sz w:val="20"/>
          <w:szCs w:val="20"/>
          <w:color w:val="auto"/>
        </w:rPr>
      </w:pPr>
      <w:r>
        <w:rPr>
          <w:rFonts w:ascii="Times New Roman" w:cs="Times New Roman" w:eastAsia="Times New Roman" w:hAnsi="Times New Roman"/>
          <w:sz w:val="18"/>
          <w:szCs w:val="18"/>
          <w:color w:val="auto"/>
        </w:rPr>
        <w:t>Advertising costs are expensed in the period incurred (when the advertisement first runs for production costs that are initially capitalized) and primarily represent online marketing, including fees paid to search engines, social media sites and other online marketing platforms, app platform and partners who direct traffic to the brands at Angi, offline marketing, which is primarily television, streaming and radio advertising within our Angi and Care.com segments and direct-mail costs for magazine subscription acquisition efforts at Dotdash Meredith. Advertising expense is $650.5 million, $858.1 million and $1.0 billion for the years ended December 31, 2024, 2023 and 2022,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Costs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Legal costs, other than certain costs incurred to obtain financing, which are generally capitalized, are expensed as incurred.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Swaps</w:t>
      </w:r>
    </w:p>
    <w:p>
      <w:pPr>
        <w:spacing w:after="0" w:line="216" w:lineRule="exact"/>
        <w:rPr>
          <w:sz w:val="20"/>
          <w:szCs w:val="20"/>
          <w:color w:val="auto"/>
        </w:rPr>
      </w:pPr>
    </w:p>
    <w:p>
      <w:pPr>
        <w:ind w:firstLine="405"/>
        <w:spacing w:after="0" w:line="236" w:lineRule="auto"/>
        <w:rPr>
          <w:sz w:val="20"/>
          <w:szCs w:val="20"/>
          <w:color w:val="auto"/>
        </w:rPr>
      </w:pPr>
      <w:r>
        <w:rPr>
          <w:rFonts w:ascii="Times New Roman" w:cs="Times New Roman" w:eastAsia="Times New Roman" w:hAnsi="Times New Roman"/>
          <w:sz w:val="18"/>
          <w:szCs w:val="18"/>
          <w:color w:val="auto"/>
        </w:rPr>
        <w:t xml:space="preserve">In March 2023, Dotdash Meredith entered into interest rate swaps for a total notional amount of $350 million, which synthetically converted a portion of Dotdash Meredith Term Loan B due December 1, 2028 (“Dotdash Meredith Term Loan B”) and, following the effectiveness of Amendment No. 1 to the Dotdash Meredith Credit Agreement on November 26, 2024 (the “Amended Dotdash Meredith Credit Agreement”), Dotdash Meredith Term Loan B-1, from a variable rate to a fixed rate to manage interest rate risk exposure for the period commencing April 3, 2023 and ending April 1, 2027. Dotdash Meredith designated the interest rate swaps as cash flow hedges and applies hedge accounting to these contracts in accordance with Financial Accounting Standards Board (“FASB”) Accounting Standards Codification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As cash flow hedges, the interest rate swaps are recognized at fair value on the balance sheet as either assets or liabilities, with the changes in fair value recorded in “Accumulated other comprehensive loss” in the balance sheet and reclassified into “Interest expense” in the statement of operations in the periods in which the interest rate swaps affect earnings. Dotdash Meredith assessed hedge effectiveness at the time of entering into these agreements and determined these interest rate swaps are expected to be highly effective. Dotdash Meredith evaluates the hedge effectiveness of the interest rate swaps quarterly, or more frequently, if necessary, by verifying (i) that the critical terms of the interest rate swaps continue to match the critical terms of the hedged interest payments and (ii) that it is probable the counterparties will not default. If the two requirements are met, the interest rate swaps are determined to be effective and all changes in the fair value of the interest rate swaps are recorded in “Accumulated other comprehensive loss.” The cash flows related to interest settlements of the hedged monthly interest payments are classified as operating activities in the statement of cash flows, consistent with the interest expense on the related Dotdash Meredith Term Loan B-1 and Dotdash Meredith Term Loan B.</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Original Issue Discount, Debt Issuance Costs and Deferred Financing Costs</w:t>
      </w:r>
    </w:p>
    <w:p>
      <w:pPr>
        <w:spacing w:after="0" w:line="229"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Costs incurred to obtain financing are deferred and amortized to “Interest expense” in the statement of operations over the related financing period using the effective interest method. The Company records debt issuance costs as a direct reduction of the carrying value of the related debt. Financing costs related to the undrawn revolving credit facility are included in “Other non-current assets” in the balance sheet.</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IAC INC. AND SUBSIDIARIES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right="120" w:firstLine="405"/>
        <w:spacing w:after="0" w:line="256" w:lineRule="auto"/>
        <w:rPr>
          <w:sz w:val="20"/>
          <w:szCs w:val="20"/>
          <w:color w:val="auto"/>
        </w:rPr>
      </w:pPr>
      <w:r>
        <w:rPr>
          <w:rFonts w:ascii="Times New Roman" w:cs="Times New Roman" w:eastAsia="Times New Roman" w:hAnsi="Times New Roman"/>
          <w:sz w:val="18"/>
          <w:szCs w:val="18"/>
          <w:color w:val="auto"/>
        </w:rPr>
        <w:t>The Company accounts for income taxes under the liability method, and deferred tax assets and liabilities are recognized for the future tax consequences attributable to differences between the financial statement carrying values of existing assets and liabilities and their respective tax bases. Deferred tax assets and liabilities are measured using enacted tax rates in effect for the year in which those temporary differences are expected to be recovered or settled. A valuation allowance is provided if it is determined that it is more likely than not that the deferred tax asset will not be realized. The Company records interest, net of any applicable related income tax benefit, for uncertain tax positions as a component of income tax expense. The Company elects to recognize the tax on Global Intangible Low-Taxed Income as a period expense in the period the tax is incurred.</w:t>
      </w:r>
    </w:p>
    <w:p>
      <w:pPr>
        <w:spacing w:after="0" w:line="187" w:lineRule="exact"/>
        <w:rPr>
          <w:sz w:val="20"/>
          <w:szCs w:val="20"/>
          <w:color w:val="auto"/>
        </w:rPr>
      </w:pPr>
    </w:p>
    <w:p>
      <w:pPr>
        <w:ind w:right="200" w:firstLine="405"/>
        <w:spacing w:after="0" w:line="258" w:lineRule="auto"/>
        <w:rPr>
          <w:sz w:val="20"/>
          <w:szCs w:val="20"/>
          <w:color w:val="auto"/>
        </w:rPr>
      </w:pPr>
      <w:r>
        <w:rPr>
          <w:rFonts w:ascii="Times New Roman" w:cs="Times New Roman" w:eastAsia="Times New Roman" w:hAnsi="Times New Roman"/>
          <w:sz w:val="18"/>
          <w:szCs w:val="18"/>
          <w:color w:val="auto"/>
        </w:rPr>
        <w:t>The Company evaluates and accounts for uncertain tax positions using a two-step approach. Recognition (step one) occurs when the Company concludes that a tax position, based solely on its technical merits, is more likely than not to be sustainable upon examination. Measurement (step two) determines the amount of benefit that is greater than 50% likely to be realized upon ultimate settlement with a taxing authority that has full knowledge of all relevant information. De-recognition of a tax position that was previously recognized would occur when the Company subsequently determines that a tax position no longer meets the more-likely-than-not threshold of being sustained.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Pensions and Post-Retirement Benefits</w:t>
      </w:r>
    </w:p>
    <w:p>
      <w:pPr>
        <w:spacing w:after="0" w:line="229" w:lineRule="exact"/>
        <w:rPr>
          <w:sz w:val="20"/>
          <w:szCs w:val="20"/>
          <w:color w:val="auto"/>
        </w:rPr>
      </w:pPr>
    </w:p>
    <w:p>
      <w:pPr>
        <w:ind w:right="240" w:firstLine="405"/>
        <w:spacing w:after="0" w:line="282" w:lineRule="auto"/>
        <w:rPr>
          <w:sz w:val="20"/>
          <w:szCs w:val="20"/>
          <w:color w:val="auto"/>
        </w:rPr>
      </w:pPr>
      <w:r>
        <w:rPr>
          <w:rFonts w:ascii="Times New Roman" w:cs="Times New Roman" w:eastAsia="Times New Roman" w:hAnsi="Times New Roman"/>
          <w:sz w:val="18"/>
          <w:szCs w:val="18"/>
          <w:color w:val="auto"/>
        </w:rPr>
        <w:t>In connection with the acquisition of Meredith in December 2021, the Company assumed certain pension plan obligations. The two largest of these pension plans were funded plans in the U.K. and the U.S.</w:t>
      </w:r>
    </w:p>
    <w:p>
      <w:pPr>
        <w:spacing w:after="0" w:line="162"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The IPC Plan relates to a business that was sold by Meredith Corporation prior to December 2021. The IPC Plan has entered into two annuity contracts designed to provide payments equal to all future designated contractual benefit payments to covered participants. The value of these annuity contracts and the liabilities with respect to participants are expected to match. There are no active participants in the IPC Plan or the unfunded pension plan in the U.K. so there are no service costs. While the Company does not expect to have to make any contributions to the IPC Plan, that could change based upon future events.</w:t>
      </w:r>
    </w:p>
    <w:p>
      <w:pPr>
        <w:spacing w:after="0" w:line="183"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The domestic funded plan and unfunded plan were frozen with respect to new participants January 1, 2018. The domestic funded pension plan was terminated as of December 31, 2022, and therefore, has no service costs after that date. No future contributions will be required to the domestic funded plan due to its termination.</w:t>
      </w:r>
    </w:p>
    <w:p>
      <w:pPr>
        <w:spacing w:after="0" w:line="176" w:lineRule="exact"/>
        <w:rPr>
          <w:sz w:val="20"/>
          <w:szCs w:val="20"/>
          <w:color w:val="auto"/>
        </w:rPr>
      </w:pPr>
    </w:p>
    <w:p>
      <w:pPr>
        <w:jc w:val="both"/>
        <w:ind w:right="320" w:firstLine="405"/>
        <w:spacing w:after="0" w:line="266" w:lineRule="auto"/>
        <w:rPr>
          <w:sz w:val="20"/>
          <w:szCs w:val="20"/>
          <w:color w:val="auto"/>
        </w:rPr>
      </w:pPr>
      <w:r>
        <w:rPr>
          <w:rFonts w:ascii="Times New Roman" w:cs="Times New Roman" w:eastAsia="Times New Roman" w:hAnsi="Times New Roman"/>
          <w:sz w:val="18"/>
          <w:szCs w:val="18"/>
          <w:color w:val="auto"/>
        </w:rPr>
        <w:t>The domestic unfunded plan was frozen as of December 31, 2024, and therefore, will have no service costs in the future. Pension benefits for the domestic plan are based on formulas that reflect pay credits allocated to participants’ accounts based on years of benefit service and annual pensionable earnings.</w:t>
      </w:r>
    </w:p>
    <w:p>
      <w:pPr>
        <w:spacing w:after="0" w:line="176" w:lineRule="exact"/>
        <w:rPr>
          <w:sz w:val="20"/>
          <w:szCs w:val="20"/>
          <w:color w:val="auto"/>
        </w:rPr>
      </w:pPr>
    </w:p>
    <w:p>
      <w:pPr>
        <w:ind w:right="160" w:firstLine="405"/>
        <w:spacing w:after="0" w:line="261" w:lineRule="auto"/>
        <w:rPr>
          <w:sz w:val="20"/>
          <w:szCs w:val="20"/>
          <w:color w:val="auto"/>
        </w:rPr>
      </w:pPr>
      <w:r>
        <w:rPr>
          <w:rFonts w:ascii="Times New Roman" w:cs="Times New Roman" w:eastAsia="Times New Roman" w:hAnsi="Times New Roman"/>
          <w:sz w:val="18"/>
          <w:szCs w:val="18"/>
          <w:color w:val="auto"/>
        </w:rPr>
        <w:t>The unfunded plan in the U.S. and the unfunded plan in the U.K. are funded as payments are made to the plan participants, which can include the purchase of annuity contracts. In addition, the Company provides health care benefits for certain employees in the U.S. upon their retirement. This plan is the only plan with active participants that are accruing benefits based upon service and the expected cost of which is accrued over the period that the employees render service; this plan is funded as claims are paid.</w:t>
      </w:r>
    </w:p>
    <w:p>
      <w:pPr>
        <w:spacing w:after="0" w:line="180"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The Company utilizes a mark-to-market approach to account for pension and post-retirement benefits. Under this approach, the Company recognizes changes in the fair value of plan assets and actuarial gains or losses in the fourth quarter of each fiscal year or whenever a plan is required to be remeasured. Events requiring a plan remeasurement are recognized in the quarter in which the remeasurement event occurs. The remaining components of pension and other post-retirement plan net periodic benefit (credit) cost are recorded on a quarterly basis.</w:t>
      </w:r>
    </w:p>
    <w:p>
      <w:pPr>
        <w:spacing w:after="0" w:line="180"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The discount rate for the IPC Plan is an effective insurance settlement rate, using the estimated discount rates inherent in the annuity contracts at each measurement date. The discount rates utilized for the domestic plans and the unfunded U.K. plan were based on the investment yields of high-quality corporate bonds available in the marketplace with maturities equal to projected cash flows of future benefit payments as of the measurement date.</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u w:val="single" w:color="auto"/>
          <w:color w:val="0000FF"/>
        </w:rPr>
        <w:t>Note 11—Pension and Post-Retirement Benefit Plans</w:t>
      </w:r>
      <w:r>
        <w:rPr>
          <w:rFonts w:ascii="Times New Roman" w:cs="Times New Roman" w:eastAsia="Times New Roman" w:hAnsi="Times New Roman"/>
          <w:sz w:val="18"/>
          <w:szCs w:val="18"/>
          <w:color w:val="auto"/>
        </w:rPr>
        <w:t>”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IAC INC. AND SUBSIDIARIES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229"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Basic net earnings (loss) per share (“EPS”) is computed by dividing net earnings (loss) attributable to holders of IAC common stock and Class B common stock by the weighted-average number of shares of common stock and Class B common stock outstanding during the period. Diluted earnings per share reflects the potential dilution that could occur if stock options and other commitments to issue common stock were exercised or equity awards vested resulting in the issuance of common stock that could share in the earnings of the Company. Undistributed earnings allocated to the participating security is subtracted from earnings in determining earnings attributable to holders of IAC common stock and Class B common stock for EPS. See “</w:t>
      </w:r>
      <w:r>
        <w:rPr>
          <w:rFonts w:ascii="Times New Roman" w:cs="Times New Roman" w:eastAsia="Times New Roman" w:hAnsi="Times New Roman"/>
          <w:sz w:val="18"/>
          <w:szCs w:val="18"/>
          <w:u w:val="single" w:color="auto"/>
          <w:color w:val="0000FF"/>
        </w:rPr>
        <w:t>Note 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Earnings (Loss) Per Share</w:t>
      </w:r>
      <w:r>
        <w:rPr>
          <w:rFonts w:ascii="Times New Roman" w:cs="Times New Roman" w:eastAsia="Times New Roman" w:hAnsi="Times New Roman"/>
          <w:sz w:val="18"/>
          <w:szCs w:val="18"/>
          <w:color w:val="000000"/>
        </w:rPr>
        <w:t>” for additional information on dilutive securities.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Translation and Transaction Gains and Losses</w:t>
      </w:r>
    </w:p>
    <w:p>
      <w:pPr>
        <w:spacing w:after="0" w:line="229" w:lineRule="exact"/>
        <w:rPr>
          <w:sz w:val="20"/>
          <w:szCs w:val="20"/>
          <w:color w:val="auto"/>
        </w:rPr>
      </w:pPr>
    </w:p>
    <w:p>
      <w:pPr>
        <w:ind w:firstLine="405"/>
        <w:spacing w:after="0" w:line="274" w:lineRule="auto"/>
        <w:rPr>
          <w:sz w:val="20"/>
          <w:szCs w:val="20"/>
          <w:color w:val="auto"/>
        </w:rPr>
      </w:pPr>
      <w:r>
        <w:rPr>
          <w:rFonts w:ascii="Times New Roman" w:cs="Times New Roman" w:eastAsia="Times New Roman" w:hAnsi="Times New Roman"/>
          <w:sz w:val="17"/>
          <w:szCs w:val="17"/>
          <w:color w:val="auto"/>
        </w:rPr>
        <w:t>The financial position and operating results of foreign entities whose primary economic environment is based on their local currency are consolidated using the local currency as the functional currency. These local currency assets and liabilities are translated at the rates of exchange as of the balance sheet date, and local currency revenue and expenses of these operations are translated at average rates of exchange during the period. Translation gains and losses are included in “Accumulated other comprehensive (loss) income” as a component of shareholders' equity. Transaction gains and losses resulting from assets and liabilities denominated in a currency other than the functional currency are included in the statement of operations as a component of “Other income (expense), net.” See “</w:t>
      </w:r>
      <w:r>
        <w:rPr>
          <w:rFonts w:ascii="Times New Roman" w:cs="Times New Roman" w:eastAsia="Times New Roman" w:hAnsi="Times New Roman"/>
          <w:sz w:val="17"/>
          <w:szCs w:val="17"/>
          <w:u w:val="single" w:color="auto"/>
          <w:color w:val="0000FF"/>
        </w:rPr>
        <w:t>Note 14—Financial Statement Details</w:t>
      </w:r>
      <w:r>
        <w:rPr>
          <w:rFonts w:ascii="Times New Roman" w:cs="Times New Roman" w:eastAsia="Times New Roman" w:hAnsi="Times New Roman"/>
          <w:sz w:val="17"/>
          <w:szCs w:val="17"/>
          <w:color w:val="auto"/>
        </w:rPr>
        <w:t>” for additional information regarding foreign currency exchange gains and losses.</w:t>
      </w:r>
    </w:p>
    <w:p>
      <w:pPr>
        <w:spacing w:after="0" w:line="173"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Translation gains and losses relating to foreign entities that are liquidated or substantially liquidated are reclassified out of accumulated other comprehensive (loss) income into earnings. During the years ended December 31, 2024 and 2022, losses of $1.4 million and less than $0.1 million, respectively, were reclassified into earnings and included in “Other income (expense), net” in the statement of operations. During the year ended December 31, 2023, no gains or losses were reclassified into earnings.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ind w:right="420" w:firstLine="405"/>
        <w:spacing w:after="0" w:line="282" w:lineRule="auto"/>
        <w:rPr>
          <w:sz w:val="20"/>
          <w:szCs w:val="20"/>
          <w:color w:val="auto"/>
        </w:rPr>
      </w:pPr>
      <w:r>
        <w:rPr>
          <w:rFonts w:ascii="Times New Roman" w:cs="Times New Roman" w:eastAsia="Times New Roman" w:hAnsi="Times New Roman"/>
          <w:sz w:val="18"/>
          <w:szCs w:val="18"/>
          <w:color w:val="auto"/>
        </w:rPr>
        <w:t>Stock-based compensation is measured at the grant date based on the fair value of the award and is generally expensed over the requisite service period. See “</w:t>
      </w:r>
      <w:r>
        <w:rPr>
          <w:rFonts w:ascii="Times New Roman" w:cs="Times New Roman" w:eastAsia="Times New Roman" w:hAnsi="Times New Roman"/>
          <w:sz w:val="18"/>
          <w:szCs w:val="18"/>
          <w:u w:val="single" w:color="auto"/>
          <w:color w:val="0000FF"/>
        </w:rPr>
        <w:t>Note 10—Stock-Based Compensation</w:t>
      </w:r>
      <w:r>
        <w:rPr>
          <w:rFonts w:ascii="Times New Roman" w:cs="Times New Roman" w:eastAsia="Times New Roman" w:hAnsi="Times New Roman"/>
          <w:sz w:val="18"/>
          <w:szCs w:val="18"/>
          <w:color w:val="auto"/>
        </w:rPr>
        <w:t>” for a discussion of the Company's stock-based compensation plans.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Redeemable Noncontrolling Interests</w:t>
      </w:r>
    </w:p>
    <w:p>
      <w:pPr>
        <w:spacing w:after="0" w:line="229" w:lineRule="exact"/>
        <w:rPr>
          <w:sz w:val="20"/>
          <w:szCs w:val="20"/>
          <w:color w:val="auto"/>
        </w:rPr>
      </w:pPr>
    </w:p>
    <w:p>
      <w:pPr>
        <w:ind w:right="160" w:firstLine="405"/>
        <w:spacing w:after="0" w:line="261" w:lineRule="auto"/>
        <w:rPr>
          <w:sz w:val="20"/>
          <w:szCs w:val="20"/>
          <w:color w:val="auto"/>
        </w:rPr>
      </w:pPr>
      <w:r>
        <w:rPr>
          <w:rFonts w:ascii="Times New Roman" w:cs="Times New Roman" w:eastAsia="Times New Roman" w:hAnsi="Times New Roman"/>
          <w:sz w:val="18"/>
          <w:szCs w:val="18"/>
          <w:color w:val="auto"/>
        </w:rPr>
        <w:t>Noncontrolling interests in the subsidiaries of the Company are ordinarily reported on the balance sheet within shareholders' equity, separately from the Company's equity. However, securities that are redeemable at the option of the holder and not solely within the control of the issuer must be classified outside of shareholders' equity. Accordingly, all noncontrolling interests that are redeemable at the option of the holder are presented outside of shareholders' equity in the balance sheet.</w:t>
      </w:r>
    </w:p>
    <w:p>
      <w:pPr>
        <w:spacing w:after="0" w:line="180" w:lineRule="exact"/>
        <w:rPr>
          <w:sz w:val="20"/>
          <w:szCs w:val="20"/>
          <w:color w:val="auto"/>
        </w:rPr>
      </w:pPr>
    </w:p>
    <w:p>
      <w:pPr>
        <w:ind w:right="40" w:firstLine="405"/>
        <w:spacing w:after="0" w:line="253" w:lineRule="auto"/>
        <w:rPr>
          <w:sz w:val="20"/>
          <w:szCs w:val="20"/>
          <w:color w:val="auto"/>
        </w:rPr>
      </w:pPr>
      <w:r>
        <w:rPr>
          <w:rFonts w:ascii="Times New Roman" w:cs="Times New Roman" w:eastAsia="Times New Roman" w:hAnsi="Times New Roman"/>
          <w:sz w:val="18"/>
          <w:szCs w:val="18"/>
          <w:color w:val="auto"/>
        </w:rPr>
        <w:t>In connection with the acquisition of certain subsidiaries, management of these businesses has retained an ownership interest. The Company is party to fair value put and call arrangements with respect to these interests. These put and call arrangements allow management of these businesses to require the Company to purchase their interests or allow the Company to acquire such interests at fair value, respectively. The put arrangements do not meet the definition of a derivative instrument as the put agreements do not provide for net settlement. These put and call arrangements become exercisable by the Company and the counterparty at various dates in the future. There were no arrangements exercised during the years ended December 31, 2024, 2023 and 2022. These put arrangements are exercisable by the counterparty outside the control of the Company. Accordingly, to the extent that the redemption amount of these interests exceeds the value determined by normal noncontrolling interest accounting, the value of such interests is adjusted to the redemption amount with a corresponding adjustment to additional paid-in capital. During the years ended December 31, 2024, 2023 and 2022, the Company recorded adjustments of $(7.0) million, $7.6 million and $24.2 million, respectively, to (decrease) increase these interests to their redemption amounts. Adjustments to these interests require high levels of judgment and are based on various valuation techniques, including market comparables and discounted cash flow projections.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IAC INC. AND SUBSIDIARIES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Adopted by the Company</w:t>
      </w:r>
    </w:p>
    <w:p>
      <w:pPr>
        <w:spacing w:after="0" w:line="2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Accounting Standards Update (“ASU”) No. 2023-07—Segment Reporting (Topic 280)—Improvements to Reportable Segment Disclosures</w:t>
      </w:r>
    </w:p>
    <w:p>
      <w:pPr>
        <w:spacing w:after="0" w:line="225" w:lineRule="exact"/>
        <w:rPr>
          <w:sz w:val="20"/>
          <w:szCs w:val="20"/>
          <w:color w:val="auto"/>
        </w:rPr>
      </w:pPr>
    </w:p>
    <w:p>
      <w:pPr>
        <w:ind w:right="160" w:firstLine="405"/>
        <w:spacing w:after="0" w:line="261" w:lineRule="auto"/>
        <w:rPr>
          <w:sz w:val="20"/>
          <w:szCs w:val="20"/>
          <w:color w:val="auto"/>
        </w:rPr>
      </w:pPr>
      <w:r>
        <w:rPr>
          <w:rFonts w:ascii="Times New Roman" w:cs="Times New Roman" w:eastAsia="Times New Roman" w:hAnsi="Times New Roman"/>
          <w:sz w:val="18"/>
          <w:szCs w:val="18"/>
          <w:color w:val="auto"/>
        </w:rPr>
        <w:t>In November 2023, the FASB issued ASU No. 2023-07</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which is intended to provide users of financial statements with more decision-useful information about reportable segments of a public business entity, primarily through enhanced disclosures of significant segment expenses. The Company adopted ASU No. 2023-07 effective for the fiscal year beginning January 1, 2024 and applied the new guidance retrospectively to all prior periods presented in the financial statements. See “</w:t>
      </w:r>
      <w:r>
        <w:rPr>
          <w:rFonts w:ascii="Times New Roman" w:cs="Times New Roman" w:eastAsia="Times New Roman" w:hAnsi="Times New Roman"/>
          <w:sz w:val="18"/>
          <w:szCs w:val="18"/>
          <w:u w:val="single" w:color="auto"/>
          <w:color w:val="0000FF"/>
        </w:rPr>
        <w:t>Note 9—Segment Information</w:t>
      </w:r>
      <w:r>
        <w:rPr>
          <w:rFonts w:ascii="Times New Roman" w:cs="Times New Roman" w:eastAsia="Times New Roman" w:hAnsi="Times New Roman"/>
          <w:sz w:val="18"/>
          <w:szCs w:val="18"/>
          <w:color w:val="auto"/>
        </w:rPr>
        <w:t>” for additional information on the impact to the Company.</w:t>
      </w:r>
    </w:p>
    <w:p>
      <w:pPr>
        <w:spacing w:after="0" w:line="17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Not Yet Adopted by the Company</w:t>
      </w:r>
    </w:p>
    <w:p>
      <w:pPr>
        <w:spacing w:after="0" w:line="2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ASU No. 2023-09—Income Taxes (Topic 740)—Improvements to Income Tax Disclosures</w:t>
      </w:r>
    </w:p>
    <w:p>
      <w:pPr>
        <w:spacing w:after="0" w:line="227" w:lineRule="exact"/>
        <w:rPr>
          <w:sz w:val="20"/>
          <w:szCs w:val="20"/>
          <w:color w:val="auto"/>
        </w:rPr>
      </w:pPr>
    </w:p>
    <w:p>
      <w:pPr>
        <w:ind w:right="140" w:firstLine="405"/>
        <w:spacing w:after="0" w:line="256" w:lineRule="auto"/>
        <w:rPr>
          <w:sz w:val="20"/>
          <w:szCs w:val="20"/>
          <w:color w:val="auto"/>
        </w:rPr>
      </w:pPr>
      <w:r>
        <w:rPr>
          <w:rFonts w:ascii="Times New Roman" w:cs="Times New Roman" w:eastAsia="Times New Roman" w:hAnsi="Times New Roman"/>
          <w:sz w:val="18"/>
          <w:szCs w:val="18"/>
          <w:color w:val="auto"/>
        </w:rPr>
        <w:t>In December 2023, the FASB issued ASU No. 2023-09</w:t>
      </w:r>
      <w:r>
        <w:rPr>
          <w:rFonts w:ascii="Times New Roman" w:cs="Times New Roman" w:eastAsia="Times New Roman" w:hAnsi="Times New Roman"/>
          <w:sz w:val="18"/>
          <w:szCs w:val="18"/>
          <w:color w:val="212529"/>
        </w:rPr>
        <w:t>, which establishes required categories and a quantitative threshold to the annual tabular 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reconciliation disclosure and disaggregated jurisdictional disclosures of income taxes paid. The guidance's annual requirements are effective for the Company beginning with the reporting period for the fiscal year ending December 31, 2025. Early adoption is permitted and ASU No. 2023-09 may be applied either prospectively or retrospectively. The Company is currently assessing ASU No. 2023-09, its impact on its income tax disclosures and the method of adoption. ASU No. 2023-09 does not affect the Company's </w:t>
      </w:r>
      <w:r>
        <w:rPr>
          <w:rFonts w:ascii="Times New Roman" w:cs="Times New Roman" w:eastAsia="Times New Roman" w:hAnsi="Times New Roman"/>
          <w:sz w:val="18"/>
          <w:szCs w:val="18"/>
          <w:color w:val="000000"/>
        </w:rPr>
        <w:t>results of operations, financial condition or cash flows. The Company does not plan</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to adopt ASU No. 2023-09 early.</w:t>
      </w:r>
    </w:p>
    <w:p>
      <w:pPr>
        <w:spacing w:after="0" w:line="185" w:lineRule="exact"/>
        <w:rPr>
          <w:sz w:val="20"/>
          <w:szCs w:val="20"/>
          <w:color w:val="auto"/>
        </w:rPr>
      </w:pPr>
    </w:p>
    <w:p>
      <w:pPr>
        <w:ind w:right="14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ASU No. 2024-03—Income Statement-Reporting Comprehensive Income—Expense Disaggregation Disclosures (Subtopic 220-40)—Disaggregation of Income Statement Expenses</w:t>
      </w:r>
    </w:p>
    <w:p>
      <w:pPr>
        <w:spacing w:after="0" w:line="160"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In November 2024, the FASB issued ASU No. 2024-03, which is intended to provide users of financial statements with more decision-useful information about expenses of a public business entity, primarily through enhanced disclosures of certain components of expenses commonly presented within captions on the statement of operations, such as purchases of inventory, employee compensation, depreciation and amortization, as well as a qualitative description of the amounts remaining in relevant expense captions that are not separately disaggregated quantitatively. ASU No. 2024-03 also requires disclosure of the total amount of selling expenses and, in annual reporting periods, the definition of selling expenses. ASU No. 2024-03 is effective for fiscal years beginning after December 15, 2026 and for interim periods beginning after December 15, 2027. Early adoption is permitted and ASU No. 2024-03 may be applied either prospectively or retrospectively. The Company is currently assessing ASU No. 2024-03, its impact on its disclosures and the timing and method of adoption. ASU No. 2024-03 does not affect the Company's results of operations, financial condition or cash flows.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Certain prior year amounts have been reclassified to conform to the current year 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IAC INC. AND SUBSIDIARIES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3—FINANCIAL INSTRUMENTS AND FAIR VALUE MEASUREMENTS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Marketable Securities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At December 31, 2024, the Company has no outstanding available-for-sale marketable debt securities.</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At December 31, 2023, the fair value of marketable securities are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9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190"/>
        </w:trPr>
        <w:tc>
          <w:tcPr>
            <w:tcW w:w="93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29"/>
        </w:trPr>
        <w:tc>
          <w:tcPr>
            <w:tcW w:w="9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 for sale marketable debt securities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148,998</w:t>
            </w:r>
          </w:p>
        </w:tc>
      </w:tr>
      <w:tr>
        <w:trPr>
          <w:trHeight w:val="223"/>
        </w:trPr>
        <w:tc>
          <w:tcPr>
            <w:tcW w:w="9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148,998</w:t>
            </w:r>
          </w:p>
        </w:tc>
      </w:tr>
      <w:tr>
        <w:trPr>
          <w:trHeight w:val="20"/>
        </w:trPr>
        <w:tc>
          <w:tcPr>
            <w:tcW w:w="9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ind w:firstLine="405"/>
        <w:spacing w:after="0" w:line="241" w:lineRule="auto"/>
        <w:rPr>
          <w:sz w:val="20"/>
          <w:szCs w:val="20"/>
          <w:color w:val="auto"/>
        </w:rPr>
      </w:pPr>
      <w:r>
        <w:rPr>
          <w:rFonts w:ascii="Times New Roman" w:cs="Times New Roman" w:eastAsia="Times New Roman" w:hAnsi="Times New Roman"/>
          <w:sz w:val="18"/>
          <w:szCs w:val="18"/>
          <w:color w:val="auto"/>
        </w:rPr>
        <w:t>Marketable securities are carried at fair value. The Company has no investments in marketable equity securities, following the change in classification of its investment in MGM to an equity method investment in the fourth quarter of 2023, described below. Prior to the fourth quarter of 2023, the Company had two investments in marketable equity securities, other than its investment in MGM, including one investment that was fully impaired in the first quarter of 2023 due to the investee declaring bankruptcy and another investment that was sold in the third quarter of 2023. The Company recorded net unrealized pre-tax losses of $0.3 million and $20.3 million for these investments during the years ended December 31, 2023 and 2022, respectively. The realized and unrealized pre-tax gain and losses related to these investments are included in “Other income (expense), net” in the statement of operations.</w:t>
      </w:r>
    </w:p>
    <w:p>
      <w:pPr>
        <w:spacing w:after="0" w:line="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At December 31, 2023, current available-for-sale marketable debt securities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8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8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vMerge w:val="restart"/>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8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840" w:type="dxa"/>
            <w:vAlign w:val="bottom"/>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8"/>
        </w:trPr>
        <w:tc>
          <w:tcPr>
            <w:tcW w:w="8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Treasury bills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148,971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148,998</w:t>
            </w:r>
          </w:p>
        </w:tc>
        <w:tc>
          <w:tcPr>
            <w:tcW w:w="0" w:type="dxa"/>
            <w:vAlign w:val="bottom"/>
          </w:tcPr>
          <w:p>
            <w:pPr>
              <w:spacing w:after="0"/>
              <w:rPr>
                <w:sz w:val="1"/>
                <w:szCs w:val="1"/>
                <w:color w:val="auto"/>
              </w:rPr>
            </w:pPr>
          </w:p>
        </w:tc>
      </w:tr>
      <w:tr>
        <w:trPr>
          <w:trHeight w:val="223"/>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available-for-sale marketable debt securities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148,971</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148,998</w:t>
            </w:r>
          </w:p>
        </w:tc>
        <w:tc>
          <w:tcPr>
            <w:tcW w:w="0" w:type="dxa"/>
            <w:vAlign w:val="bottom"/>
          </w:tcPr>
          <w:p>
            <w:pPr>
              <w:spacing w:after="0"/>
              <w:rPr>
                <w:sz w:val="1"/>
                <w:szCs w:val="1"/>
                <w:color w:val="auto"/>
              </w:rPr>
            </w:pPr>
          </w:p>
        </w:tc>
      </w:tr>
      <w:tr>
        <w:trPr>
          <w:trHeight w:val="21"/>
        </w:trPr>
        <w:tc>
          <w:tcPr>
            <w:tcW w:w="8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580" w:firstLine="405"/>
        <w:spacing w:after="0" w:line="266" w:lineRule="auto"/>
        <w:rPr>
          <w:sz w:val="20"/>
          <w:szCs w:val="20"/>
          <w:color w:val="auto"/>
        </w:rPr>
      </w:pPr>
      <w:r>
        <w:rPr>
          <w:rFonts w:ascii="Times New Roman" w:cs="Times New Roman" w:eastAsia="Times New Roman" w:hAnsi="Times New Roman"/>
          <w:sz w:val="18"/>
          <w:szCs w:val="18"/>
          <w:color w:val="auto"/>
        </w:rPr>
        <w:t>The contractual maturities of debt securities classified as current available-for-sale at December 31, 2023 were within one year. There were no investments in available-for-sale marketable debt securities that had been in a continuous unrealized loss position for longer than twelve months at December 31,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in MGM Resorts International</w:t>
      </w:r>
    </w:p>
    <w:p>
      <w:pPr>
        <w:spacing w:after="0" w:line="290"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33655</wp:posOffset>
            </wp:positionV>
            <wp:extent cx="18002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35" w:lineRule="exact"/>
        <w:rPr>
          <w:sz w:val="20"/>
          <w:szCs w:val="20"/>
          <w:color w:val="auto"/>
        </w:rPr>
      </w:pPr>
    </w:p>
    <w:p>
      <w:pPr>
        <w:ind w:left="8940"/>
        <w:spacing w:after="0"/>
        <w:tabs>
          <w:tab w:leader="none" w:pos="1040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33655</wp:posOffset>
            </wp:positionV>
            <wp:extent cx="18002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35" w:lineRule="exact"/>
        <w:rPr>
          <w:sz w:val="20"/>
          <w:szCs w:val="20"/>
          <w:color w:val="auto"/>
        </w:rPr>
      </w:pPr>
    </w:p>
    <w:p>
      <w:pPr>
        <w:ind w:left="938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48" w:lineRule="exact"/>
        <w:rPr>
          <w:sz w:val="20"/>
          <w:szCs w:val="20"/>
          <w:color w:val="auto"/>
        </w:rPr>
      </w:pPr>
    </w:p>
    <w:p>
      <w:pPr>
        <w:ind w:left="20"/>
        <w:spacing w:after="0"/>
        <w:tabs>
          <w:tab w:leader="none" w:pos="8400" w:val="left"/>
          <w:tab w:leader="none" w:pos="8960" w:val="left"/>
          <w:tab w:leader="none" w:pos="9880" w:val="left"/>
          <w:tab w:leader="none" w:pos="10420" w:val="left"/>
        </w:tabs>
        <w:rPr>
          <w:sz w:val="20"/>
          <w:szCs w:val="20"/>
          <w:color w:val="auto"/>
        </w:rPr>
      </w:pPr>
      <w:r>
        <w:rPr>
          <w:rFonts w:ascii="Times New Roman" w:cs="Times New Roman" w:eastAsia="Times New Roman" w:hAnsi="Times New Roman"/>
          <w:sz w:val="18"/>
          <w:szCs w:val="18"/>
          <w:color w:val="auto"/>
        </w:rPr>
        <w:t>Investment in MGM</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2,242,672</w:t>
        <w:tab/>
        <w:t>$</w:t>
      </w:r>
      <w:r>
        <w:rPr>
          <w:sz w:val="20"/>
          <w:szCs w:val="20"/>
          <w:color w:val="auto"/>
        </w:rPr>
        <w:tab/>
      </w:r>
      <w:r>
        <w:rPr>
          <w:rFonts w:ascii="Times New Roman" w:cs="Times New Roman" w:eastAsia="Times New Roman" w:hAnsi="Times New Roman"/>
          <w:sz w:val="18"/>
          <w:szCs w:val="18"/>
          <w:color w:val="auto"/>
        </w:rPr>
        <w:t>2,891,850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803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340"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In the fourth quarter of 2023, MGM's ongoing share repurchase program passively increased the Company's ownership interest in MGM and the Company determined that the equity method of accounting applied and elected to account for its investment in MGM pursuant to the fair value option. See “</w:t>
      </w:r>
      <w:r>
        <w:rPr>
          <w:rFonts w:ascii="Times New Roman" w:cs="Times New Roman" w:eastAsia="Times New Roman" w:hAnsi="Times New Roman"/>
          <w:sz w:val="18"/>
          <w:szCs w:val="18"/>
          <w:u w:val="single" w:color="auto"/>
          <w:color w:val="0000FF"/>
        </w:rPr>
        <w:t>Note 2—Summary of Significant Accounting Policies</w:t>
      </w:r>
      <w:r>
        <w:rPr>
          <w:rFonts w:ascii="Times New Roman" w:cs="Times New Roman" w:eastAsia="Times New Roman" w:hAnsi="Times New Roman"/>
          <w:sz w:val="18"/>
          <w:szCs w:val="18"/>
          <w:color w:val="auto"/>
        </w:rPr>
        <w:t>” for further discussion of the Company’s investment in MGM.</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IAC INC. AND SUBSIDIARIES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Investments</w:t>
      </w:r>
    </w:p>
    <w:p>
      <w:pPr>
        <w:sectPr>
          <w:pgSz w:w="11900" w:h="16838" w:orient="portrait"/>
          <w:cols w:equalWidth="0" w:num="1">
            <w:col w:w="11240"/>
          </w:cols>
          <w:pgMar w:left="320" w:top="118" w:right="339" w:bottom="1440" w:gutter="0" w:footer="0" w:header="0"/>
        </w:sectPr>
      </w:pP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Long-term investments consist of:</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Equity securities without readily determinable fair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Total long-term investments</w:t>
      </w:r>
    </w:p>
    <w:p>
      <w:pPr>
        <w:spacing w:after="0" w:line="34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b w:val="1"/>
          <w:bCs w:val="1"/>
          <w:i w:val="1"/>
          <w:iCs w:val="1"/>
          <w:color w:val="auto"/>
        </w:rPr>
        <w:t>Equity Securities without Readily Determinable Fair Values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33655</wp:posOffset>
            </wp:positionV>
            <wp:extent cx="18002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35" w:lineRule="exact"/>
        <w:rPr>
          <w:sz w:val="20"/>
          <w:szCs w:val="20"/>
          <w:color w:val="auto"/>
        </w:rPr>
      </w:pPr>
    </w:p>
    <w:p>
      <w:pPr>
        <w:ind w:left="520"/>
        <w:spacing w:after="0"/>
        <w:tabs>
          <w:tab w:leader="none" w:pos="198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33655</wp:posOffset>
            </wp:positionV>
            <wp:extent cx="18002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48" w:lineRule="exact"/>
        <w:rPr>
          <w:sz w:val="20"/>
          <w:szCs w:val="20"/>
          <w:color w:val="auto"/>
        </w:rPr>
      </w:pPr>
    </w:p>
    <w:p>
      <w:pPr>
        <w:spacing w:after="0"/>
        <w:tabs>
          <w:tab w:leader="none" w:pos="680" w:val="left"/>
          <w:tab w:leader="none" w:pos="1460" w:val="left"/>
          <w:tab w:leader="none" w:pos="21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438,534</w:t>
        <w:tab/>
        <w:t>$</w:t>
      </w:r>
      <w:r>
        <w:rPr>
          <w:sz w:val="20"/>
          <w:szCs w:val="20"/>
          <w:color w:val="auto"/>
        </w:rPr>
        <w:tab/>
      </w:r>
      <w:r>
        <w:rPr>
          <w:rFonts w:ascii="Times New Roman" w:cs="Times New Roman" w:eastAsia="Times New Roman" w:hAnsi="Times New Roman"/>
          <w:sz w:val="17"/>
          <w:szCs w:val="17"/>
          <w:color w:val="auto"/>
        </w:rPr>
        <w:t>404,848</w:t>
      </w:r>
    </w:p>
    <w:p>
      <w:pPr>
        <w:spacing w:after="0" w:line="2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6,368</w:t>
      </w:r>
    </w:p>
    <w:p>
      <w:pPr>
        <w:spacing w:after="0" w:line="31" w:lineRule="exact"/>
        <w:rPr>
          <w:sz w:val="20"/>
          <w:szCs w:val="20"/>
          <w:color w:val="auto"/>
        </w:rPr>
      </w:pPr>
    </w:p>
    <w:p>
      <w:pPr>
        <w:spacing w:after="0"/>
        <w:tabs>
          <w:tab w:leader="none" w:pos="680" w:val="left"/>
          <w:tab w:leader="none" w:pos="1460" w:val="left"/>
          <w:tab w:leader="none" w:pos="21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438,534</w:t>
        <w:tab/>
        <w:t>$</w:t>
      </w:r>
      <w:r>
        <w:rPr>
          <w:sz w:val="20"/>
          <w:szCs w:val="20"/>
          <w:color w:val="auto"/>
        </w:rPr>
        <w:tab/>
      </w:r>
      <w:r>
        <w:rPr>
          <w:rFonts w:ascii="Times New Roman" w:cs="Times New Roman" w:eastAsia="Times New Roman" w:hAnsi="Times New Roman"/>
          <w:sz w:val="17"/>
          <w:szCs w:val="17"/>
          <w:color w:val="auto"/>
        </w:rPr>
        <w:t>411,216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43180</wp:posOffset>
            </wp:positionV>
            <wp:extent cx="180022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764" w:lineRule="exact"/>
        <w:rPr>
          <w:sz w:val="20"/>
          <w:szCs w:val="20"/>
          <w:color w:val="auto"/>
        </w:rPr>
      </w:pPr>
    </w:p>
    <w:p>
      <w:pPr>
        <w:sectPr>
          <w:pgSz w:w="11900" w:h="16838" w:orient="portrait"/>
          <w:cols w:equalWidth="0" w:num="2">
            <w:col w:w="7700" w:space="720"/>
            <w:col w:w="2820"/>
          </w:cols>
          <w:pgMar w:left="320" w:top="118" w:right="339" w:bottom="1440" w:gutter="0" w:footer="0" w:header="0"/>
          <w:type w:val="continuous"/>
        </w:sectPr>
      </w:pPr>
    </w:p>
    <w:p>
      <w:pPr>
        <w:spacing w:after="0" w:line="41"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tables present a summary of unrealized pre-tax gains and losses recorded in “Other income (expense), net” in the statement of operations as adjustments to the carrying value of equity securities without readily determinable fair values held at December 31, 2024 and 2023.</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8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80" w:type="dxa"/>
            <w:vAlign w:val="bottom"/>
            <w:gridSpan w:val="4"/>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83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83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8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7"/>
                <w:szCs w:val="17"/>
                <w:color w:val="auto"/>
              </w:rPr>
            </w:pPr>
          </w:p>
        </w:tc>
      </w:tr>
      <w:tr>
        <w:trPr>
          <w:trHeight w:val="236"/>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Upward adjustments (gross unrealized pre-tax gains)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1,901</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w:t>
            </w:r>
          </w:p>
        </w:tc>
      </w:tr>
      <w:tr>
        <w:trPr>
          <w:trHeight w:val="230"/>
        </w:trPr>
        <w:tc>
          <w:tcPr>
            <w:tcW w:w="8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Downward adjustments including impairments (gross unrealized pre-tax losses)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(34,218)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(22,463)</w:t>
            </w:r>
          </w:p>
        </w:tc>
      </w:tr>
      <w:tr>
        <w:trPr>
          <w:trHeight w:val="248"/>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(32,317)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(20,236)</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cumulative upward and downward adjustments (including impairments) to the carrying value of equity securities without readily determinable fair values held at December 31, 2024 were $31.4 million and $160.1 million, respectively.</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Realized and unrealized pre-tax gains and losses for the Company's investments without readily determinable fair values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2023 and 2022 are as follows:</w:t>
      </w:r>
    </w:p>
    <w:p>
      <w:pPr>
        <w:spacing w:after="0" w:line="241"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
        </w:trPr>
        <w:tc>
          <w:tcPr>
            <w:tcW w:w="6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6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6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Realized pre-tax gains, net, for equity securities sold</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8,943</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center"/>
              <w:ind w:left="375"/>
              <w:spacing w:after="0"/>
              <w:rPr>
                <w:sz w:val="20"/>
                <w:szCs w:val="20"/>
                <w:color w:val="auto"/>
              </w:rPr>
            </w:pPr>
            <w:r>
              <w:rPr>
                <w:rFonts w:ascii="Times New Roman" w:cs="Times New Roman" w:eastAsia="Times New Roman" w:hAnsi="Times New Roman"/>
                <w:sz w:val="18"/>
                <w:szCs w:val="18"/>
                <w:color w:val="auto"/>
              </w:rPr>
              <w:t>12,434</w:t>
            </w:r>
          </w:p>
        </w:tc>
      </w:tr>
      <w:tr>
        <w:trPr>
          <w:trHeight w:val="230"/>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Unrealized pre-tax losses, net, on equity securities held</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(32,317)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left="335"/>
              <w:spacing w:after="0"/>
              <w:rPr>
                <w:sz w:val="20"/>
                <w:szCs w:val="20"/>
                <w:color w:val="auto"/>
              </w:rPr>
            </w:pPr>
            <w:r>
              <w:rPr>
                <w:rFonts w:ascii="Times New Roman" w:cs="Times New Roman" w:eastAsia="Times New Roman" w:hAnsi="Times New Roman"/>
                <w:sz w:val="18"/>
                <w:szCs w:val="18"/>
                <w:color w:val="auto"/>
              </w:rPr>
              <w:t>(89,137)</w:t>
            </w: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pre-tax losses, net recognized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center"/>
              <w:ind w:left="335"/>
              <w:spacing w:after="0"/>
              <w:rPr>
                <w:sz w:val="20"/>
                <w:szCs w:val="20"/>
                <w:color w:val="auto"/>
              </w:rPr>
            </w:pPr>
            <w:r>
              <w:rPr>
                <w:rFonts w:ascii="Times New Roman" w:cs="Times New Roman" w:eastAsia="Times New Roman" w:hAnsi="Times New Roman"/>
                <w:sz w:val="18"/>
                <w:szCs w:val="18"/>
                <w:color w:val="auto"/>
              </w:rPr>
              <w:t>(76,703)</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80" w:firstLine="405"/>
        <w:spacing w:after="0" w:line="282" w:lineRule="auto"/>
        <w:rPr>
          <w:sz w:val="20"/>
          <w:szCs w:val="20"/>
          <w:color w:val="auto"/>
        </w:rPr>
      </w:pPr>
      <w:r>
        <w:rPr>
          <w:rFonts w:ascii="Times New Roman" w:cs="Times New Roman" w:eastAsia="Times New Roman" w:hAnsi="Times New Roman"/>
          <w:sz w:val="18"/>
          <w:szCs w:val="18"/>
          <w:color w:val="auto"/>
        </w:rPr>
        <w:t>All pre-tax gains and losses on equity securities without readily determinable fair values, realized and unrealized, are recognized in “Other income (expense), net” in the statement of operations.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16" w:name="page117"/>
    <w:bookmarkEnd w:id="1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IAC INC. AND SUBSIDIARIES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tables present the Company's financial instruments that are measured at fair value on a recurring basis: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80" w:type="dxa"/>
            <w:vAlign w:val="bottom"/>
            <w:gridSpan w:val="3"/>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jc w:val="center"/>
              <w:ind w:right="116"/>
              <w:spacing w:after="0" w:line="12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37"/>
        </w:trPr>
        <w:tc>
          <w:tcPr>
            <w:tcW w:w="5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1"/>
                <w:szCs w:val="11"/>
                <w:color w:val="auto"/>
              </w:rPr>
            </w:pPr>
          </w:p>
        </w:tc>
        <w:tc>
          <w:tcPr>
            <w:tcW w:w="12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60" w:type="dxa"/>
            <w:vAlign w:val="bottom"/>
            <w:vMerge w:val="restart"/>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jc w:val="center"/>
              <w:ind w:right="116"/>
              <w:spacing w:after="0" w:line="137"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90"/>
        </w:trPr>
        <w:tc>
          <w:tcPr>
            <w:tcW w:w="5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Measurements</w:t>
            </w: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3"/>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80" w:type="dxa"/>
            <w:vAlign w:val="bottom"/>
            <w:gridSpan w:val="3"/>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1,476,919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1,476,919</w:t>
            </w:r>
          </w:p>
        </w:tc>
        <w:tc>
          <w:tcPr>
            <w:tcW w:w="0" w:type="dxa"/>
            <w:vAlign w:val="bottom"/>
          </w:tcPr>
          <w:p>
            <w:pPr>
              <w:spacing w:after="0"/>
              <w:rPr>
                <w:sz w:val="1"/>
                <w:szCs w:val="1"/>
                <w:color w:val="auto"/>
              </w:rPr>
            </w:pPr>
          </w:p>
        </w:tc>
      </w:tr>
      <w:tr>
        <w:trPr>
          <w:trHeight w:val="229"/>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Time deposits</w:t>
            </w:r>
          </w:p>
        </w:tc>
        <w:tc>
          <w:tcPr>
            <w:tcW w:w="3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18,098</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18,098</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Retirement investment fund</w:t>
            </w:r>
            <w:r>
              <w:rPr>
                <w:rFonts w:ascii="Times New Roman" w:cs="Times New Roman" w:eastAsia="Times New Roman" w:hAnsi="Times New Roman"/>
                <w:sz w:val="23"/>
                <w:szCs w:val="23"/>
                <w:color w:val="auto"/>
                <w:vertAlign w:val="superscript"/>
              </w:rPr>
              <w:t>(a)</w:t>
            </w:r>
          </w:p>
        </w:tc>
        <w:tc>
          <w:tcPr>
            <w:tcW w:w="3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13,763</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13,763</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 MGM</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2,242,672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2,242,672</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Interest rate swaps</w:t>
            </w:r>
            <w:r>
              <w:rPr>
                <w:rFonts w:ascii="Times New Roman" w:cs="Times New Roman" w:eastAsia="Times New Roman" w:hAnsi="Times New Roman"/>
                <w:sz w:val="23"/>
                <w:szCs w:val="23"/>
                <w:color w:val="auto"/>
                <w:vertAlign w:val="superscript"/>
              </w:rPr>
              <w:t>(b)</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3,719,591</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33,576</w:t>
            </w:r>
          </w:p>
        </w:tc>
        <w:tc>
          <w:tcPr>
            <w:tcW w:w="10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3,753,167</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77" w:lineRule="exact"/>
        <w:rPr>
          <w:sz w:val="20"/>
          <w:szCs w:val="20"/>
          <w:color w:val="auto"/>
        </w:rPr>
      </w:pPr>
    </w:p>
    <w:p>
      <w:pPr>
        <w:ind w:left="640" w:hanging="308"/>
        <w:spacing w:after="0"/>
        <w:tabs>
          <w:tab w:leader="none" w:pos="640" w:val="left"/>
        </w:tabs>
        <w:numPr>
          <w:ilvl w:val="0"/>
          <w:numId w:val="5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See “</w:t>
      </w:r>
      <w:r>
        <w:rPr>
          <w:rFonts w:ascii="Times New Roman" w:cs="Times New Roman" w:eastAsia="Times New Roman" w:hAnsi="Times New Roman"/>
          <w:sz w:val="14"/>
          <w:szCs w:val="14"/>
          <w:u w:val="single" w:color="auto"/>
          <w:color w:val="0000FF"/>
        </w:rPr>
        <w:t>Note 11—Pension and Post-Retirement Benefit Plans</w:t>
      </w:r>
      <w:r>
        <w:rPr>
          <w:rFonts w:ascii="Times New Roman" w:cs="Times New Roman" w:eastAsia="Times New Roman" w:hAnsi="Times New Roman"/>
          <w:sz w:val="14"/>
          <w:szCs w:val="14"/>
          <w:color w:val="auto"/>
        </w:rPr>
        <w:t>” for additional information.</w:t>
      </w:r>
    </w:p>
    <w:p>
      <w:pPr>
        <w:spacing w:after="0" w:line="135" w:lineRule="exact"/>
        <w:rPr>
          <w:rFonts w:ascii="Times New Roman" w:cs="Times New Roman" w:eastAsia="Times New Roman" w:hAnsi="Times New Roman"/>
          <w:sz w:val="23"/>
          <w:szCs w:val="23"/>
          <w:color w:val="auto"/>
          <w:vertAlign w:val="superscript"/>
        </w:rPr>
      </w:pPr>
    </w:p>
    <w:p>
      <w:pPr>
        <w:jc w:val="both"/>
        <w:ind w:left="660" w:right="180" w:hanging="328"/>
        <w:spacing w:after="0" w:line="220" w:lineRule="auto"/>
        <w:tabs>
          <w:tab w:leader="none" w:pos="652" w:val="left"/>
        </w:tabs>
        <w:numPr>
          <w:ilvl w:val="0"/>
          <w:numId w:val="5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Interest rate swaps relate to the $350 million notional amount entered into to hedge Dotdash Meredith's Term Loan B-1. See “</w:t>
      </w:r>
      <w:r>
        <w:rPr>
          <w:rFonts w:ascii="Times New Roman" w:cs="Times New Roman" w:eastAsia="Times New Roman" w:hAnsi="Times New Roman"/>
          <w:sz w:val="14"/>
          <w:szCs w:val="14"/>
          <w:u w:val="single" w:color="auto"/>
          <w:color w:val="0000FF"/>
        </w:rPr>
        <w:t>Note 2—Summary of Significant Accounting Policies</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u w:val="single" w:color="auto"/>
          <w:color w:val="0000FF"/>
        </w:rPr>
        <w:t>Note 6—Long-term Debt</w:t>
      </w:r>
      <w:r>
        <w:rPr>
          <w:rFonts w:ascii="Times New Roman" w:cs="Times New Roman" w:eastAsia="Times New Roman" w:hAnsi="Times New Roman"/>
          <w:sz w:val="14"/>
          <w:szCs w:val="14"/>
          <w:color w:val="auto"/>
        </w:rPr>
        <w:t>” for additional information. The fair value of interest rate swaps was determined using discounted cash flows derived from observable market prices, including swap curves, which are Level 2 inputs.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6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jc w:val="center"/>
              <w:ind w:right="115"/>
              <w:spacing w:after="0" w:line="131"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5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2"/>
                <w:szCs w:val="12"/>
                <w:color w:val="auto"/>
              </w:rPr>
            </w:pPr>
          </w:p>
        </w:tc>
        <w:tc>
          <w:tcPr>
            <w:tcW w:w="12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60" w:type="dxa"/>
            <w:vAlign w:val="bottom"/>
          </w:tcPr>
          <w:p>
            <w:pPr>
              <w:spacing w:after="0"/>
              <w:rPr>
                <w:sz w:val="12"/>
                <w:szCs w:val="12"/>
                <w:color w:val="auto"/>
              </w:rPr>
            </w:pPr>
          </w:p>
        </w:tc>
        <w:tc>
          <w:tcPr>
            <w:tcW w:w="10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00" w:type="dxa"/>
            <w:vAlign w:val="bottom"/>
          </w:tcPr>
          <w:p>
            <w:pPr>
              <w:spacing w:after="0"/>
              <w:rPr>
                <w:sz w:val="12"/>
                <w:szCs w:val="12"/>
                <w:color w:val="auto"/>
              </w:rPr>
            </w:pPr>
          </w:p>
        </w:tc>
        <w:tc>
          <w:tcPr>
            <w:tcW w:w="1240" w:type="dxa"/>
            <w:vAlign w:val="bottom"/>
          </w:tcPr>
          <w:p>
            <w:pPr>
              <w:jc w:val="center"/>
              <w:ind w:right="115"/>
              <w:spacing w:after="0" w:line="146"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96"/>
        </w:trPr>
        <w:tc>
          <w:tcPr>
            <w:tcW w:w="52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vMerge w:val="continue"/>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Measurements</w:t>
            </w:r>
          </w:p>
        </w:tc>
        <w:tc>
          <w:tcPr>
            <w:tcW w:w="0" w:type="dxa"/>
            <w:vAlign w:val="bottom"/>
          </w:tcPr>
          <w:p>
            <w:pPr>
              <w:spacing w:after="0"/>
              <w:rPr>
                <w:sz w:val="1"/>
                <w:szCs w:val="1"/>
                <w:color w:val="auto"/>
              </w:rPr>
            </w:pPr>
          </w:p>
        </w:tc>
      </w:tr>
      <w:tr>
        <w:trPr>
          <w:trHeight w:val="192"/>
        </w:trPr>
        <w:tc>
          <w:tcPr>
            <w:tcW w:w="5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910,849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910,849</w:t>
            </w: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Treasury bills</w:t>
            </w:r>
          </w:p>
        </w:tc>
        <w:tc>
          <w:tcPr>
            <w:tcW w:w="3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87,251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87,251</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Time deposits</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19,497</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Treasury bills</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148,998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148,998</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 MGM</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2,891,851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2,891,851</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Warrant</w:t>
            </w:r>
          </w:p>
        </w:tc>
        <w:tc>
          <w:tcPr>
            <w:tcW w:w="3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49,631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49,631</w:t>
            </w:r>
          </w:p>
        </w:tc>
        <w:tc>
          <w:tcPr>
            <w:tcW w:w="0" w:type="dxa"/>
            <w:vAlign w:val="bottom"/>
          </w:tcPr>
          <w:p>
            <w:pPr>
              <w:spacing w:after="0"/>
              <w:rPr>
                <w:sz w:val="1"/>
                <w:szCs w:val="1"/>
                <w:color w:val="auto"/>
              </w:rPr>
            </w:pPr>
          </w:p>
        </w:tc>
      </w:tr>
      <w:tr>
        <w:trPr>
          <w:trHeight w:val="248"/>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3,802,700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4,108,077</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52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Interest rate swaps</w:t>
            </w:r>
            <w:r>
              <w:rPr>
                <w:rFonts w:ascii="Times New Roman" w:cs="Times New Roman" w:eastAsia="Times New Roman" w:hAnsi="Times New Roman"/>
                <w:sz w:val="23"/>
                <w:szCs w:val="23"/>
                <w:color w:val="auto"/>
                <w:vertAlign w:val="superscript"/>
              </w:rPr>
              <w:t>(b)</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IAC INC. AND SUBSIDIARIES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changes in the warrant, which was measured at fair value on a recurring basis using significant unobservable inputs (Level 3):</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4"/>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8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0"/>
        </w:trPr>
        <w:tc>
          <w:tcPr>
            <w:tcW w:w="8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8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0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7"/>
                <w:szCs w:val="17"/>
                <w:color w:val="auto"/>
              </w:rPr>
            </w:pPr>
          </w:p>
        </w:tc>
      </w:tr>
      <w:tr>
        <w:trPr>
          <w:trHeight w:val="23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49,631</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46,799</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gains: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Fair value adjustments included in earnings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2,832</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(70,024)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49,631</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w:t>
      </w:r>
    </w:p>
    <w:p>
      <w:pPr>
        <w:spacing w:after="0" w:line="22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Company owns preferred shares of Turo, a peer-to-peer car sharing marketplace, which are accounted for as an equity security without a readily determinable fair value, as the preferred shares are not common stock equivalents. As part of the Company's original investment in Turo preferred shares, the Company received a warrant that was recorded at fair value each reporting period with any change in fair value included in “Other income (expense), net” in the statement of operations. The warrant was measured using significant unobservable inputs and classified in the fair value hierarchy table as Level</w:t>
      </w:r>
    </w:p>
    <w:p>
      <w:pPr>
        <w:spacing w:after="0" w:line="3" w:lineRule="exact"/>
        <w:rPr>
          <w:sz w:val="20"/>
          <w:szCs w:val="20"/>
          <w:color w:val="auto"/>
        </w:rPr>
      </w:pPr>
    </w:p>
    <w:p>
      <w:pPr>
        <w:jc w:val="both"/>
        <w:ind w:firstLine="8"/>
        <w:spacing w:after="0" w:line="253" w:lineRule="auto"/>
        <w:tabs>
          <w:tab w:leader="none" w:pos="18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net settled its Turo warrant on July 23, 2024 (the warrant expiration date) for 4.5 million shares of Series E-2 preferred stock and the fair value of the warrant of $70.0 million was reclassified to equity securities without readily determinable fair values. The Company had measured this warrant at fair value at June 30, 2024 using the settlement value of the shares received pursuant to its net exercise on July 23, 2024. For the periods prior to the settlement, the warrant was included in “Other non-current assets” in the balance sheet.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 measured at fair value only for disclosure purposes</w:t>
      </w:r>
    </w:p>
    <w:p>
      <w:pPr>
        <w:spacing w:after="0" w:line="229" w:lineRule="exact"/>
        <w:rPr>
          <w:sz w:val="20"/>
          <w:szCs w:val="20"/>
          <w:color w:val="auto"/>
        </w:rPr>
      </w:pPr>
    </w:p>
    <w:p>
      <w:pPr>
        <w:ind w:right="80" w:firstLine="405"/>
        <w:spacing w:after="0" w:line="282" w:lineRule="auto"/>
        <w:rPr>
          <w:sz w:val="20"/>
          <w:szCs w:val="20"/>
          <w:color w:val="auto"/>
        </w:rPr>
      </w:pPr>
      <w:r>
        <w:rPr>
          <w:rFonts w:ascii="Times New Roman" w:cs="Times New Roman" w:eastAsia="Times New Roman" w:hAnsi="Times New Roman"/>
          <w:sz w:val="18"/>
          <w:szCs w:val="18"/>
          <w:color w:val="auto"/>
        </w:rPr>
        <w:t>The total fair value of the outstanding long-term debt, including the current portion, is estimated using observable market prices or indices for similar liabilities, which are Level 2 inputs, and was approximately $1.93 billion and $1.95 billion at December 31, 2024 and 2023,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4—GOODWILL AND INTANGIBLE ASSETS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Goodwill and intangible assets, net are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6"/>
                <w:szCs w:val="16"/>
                <w:color w:val="auto"/>
              </w:rPr>
            </w:pPr>
          </w:p>
        </w:tc>
      </w:tr>
      <w:tr>
        <w:trPr>
          <w:trHeight w:val="23"/>
        </w:trPr>
        <w:tc>
          <w:tcPr>
            <w:tcW w:w="8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8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8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17"/>
                <w:szCs w:val="17"/>
                <w:color w:val="auto"/>
              </w:rPr>
            </w:pPr>
          </w:p>
        </w:tc>
      </w:tr>
      <w:tr>
        <w:trPr>
          <w:trHeight w:val="23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2,877,078</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3,024,266</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with indefinite lives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513,113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544,228</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with definite lives, net of accumulated amortization</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209,022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330,477</w:t>
            </w:r>
          </w:p>
        </w:tc>
      </w:tr>
      <w:tr>
        <w:trPr>
          <w:trHeight w:val="223"/>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goodwill and intangible assets, net</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3,599,213</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3,898,971</w:t>
            </w:r>
          </w:p>
        </w:tc>
      </w:tr>
      <w:tr>
        <w:trPr>
          <w:trHeight w:val="20"/>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IAC INC. AND SUBSIDIARIES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balance of goodwill by reportable segment, including the changes in the carrying value of goodwill and accumulated impairment losses, for the year ended December 31, 2024:</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3"/>
                <w:szCs w:val="13"/>
                <w:color w:val="auto"/>
              </w:rPr>
            </w:pPr>
          </w:p>
        </w:tc>
        <w:tc>
          <w:tcPr>
            <w:tcW w:w="16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w:t>
            </w: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Foreign</w:t>
            </w:r>
          </w:p>
        </w:tc>
        <w:tc>
          <w:tcPr>
            <w:tcW w:w="16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w:t>
            </w:r>
          </w:p>
        </w:tc>
        <w:tc>
          <w:tcPr>
            <w:tcW w:w="18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Accumulated Impairment</w:t>
            </w:r>
          </w:p>
        </w:tc>
        <w:tc>
          <w:tcPr>
            <w:tcW w:w="0" w:type="dxa"/>
            <w:vAlign w:val="bottom"/>
          </w:tcPr>
          <w:p>
            <w:pPr>
              <w:spacing w:after="0"/>
              <w:rPr>
                <w:sz w:val="1"/>
                <w:szCs w:val="1"/>
                <w:color w:val="auto"/>
              </w:rPr>
            </w:pPr>
          </w:p>
        </w:tc>
      </w:tr>
      <w:tr>
        <w:trPr>
          <w:trHeight w:val="146"/>
        </w:trPr>
        <w:tc>
          <w:tcPr>
            <w:tcW w:w="3840" w:type="dxa"/>
            <w:vAlign w:val="bottom"/>
          </w:tcPr>
          <w:p>
            <w:pPr>
              <w:spacing w:after="0"/>
              <w:rPr>
                <w:sz w:val="12"/>
                <w:szCs w:val="12"/>
                <w:color w:val="auto"/>
              </w:rPr>
            </w:pPr>
          </w:p>
        </w:tc>
        <w:tc>
          <w:tcPr>
            <w:tcW w:w="16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140" w:type="dxa"/>
            <w:vAlign w:val="bottom"/>
          </w:tcPr>
          <w:p>
            <w:pPr>
              <w:spacing w:after="0"/>
              <w:rPr>
                <w:sz w:val="12"/>
                <w:szCs w:val="12"/>
                <w:color w:val="auto"/>
              </w:rPr>
            </w:pPr>
          </w:p>
        </w:tc>
        <w:tc>
          <w:tcPr>
            <w:tcW w:w="102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w w:val="99"/>
              </w:rPr>
              <w:t>Exchange</w:t>
            </w:r>
          </w:p>
        </w:tc>
        <w:tc>
          <w:tcPr>
            <w:tcW w:w="1640" w:type="dxa"/>
            <w:vAlign w:val="bottom"/>
            <w:gridSpan w:val="3"/>
            <w:vMerge w:val="continue"/>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8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4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Losses at December 31, 2024</w:t>
            </w:r>
          </w:p>
        </w:tc>
        <w:tc>
          <w:tcPr>
            <w:tcW w:w="0" w:type="dxa"/>
            <w:vAlign w:val="bottom"/>
          </w:tcPr>
          <w:p>
            <w:pPr>
              <w:spacing w:after="0"/>
              <w:rPr>
                <w:sz w:val="1"/>
                <w:szCs w:val="1"/>
                <w:color w:val="auto"/>
              </w:rPr>
            </w:pPr>
          </w:p>
        </w:tc>
      </w:tr>
      <w:tr>
        <w:trPr>
          <w:trHeight w:val="195"/>
        </w:trPr>
        <w:tc>
          <w:tcPr>
            <w:tcW w:w="3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3"/>
          </w:tcPr>
          <w:p>
            <w:pPr>
              <w:jc w:val="center"/>
              <w:ind w:left="1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Dotdash Meredith</w:t>
            </w:r>
          </w:p>
        </w:tc>
        <w:tc>
          <w:tcPr>
            <w:tcW w:w="3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Digital</w:t>
            </w: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1,497,642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center"/>
              <w:ind w:left="395"/>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1,497,642</w:t>
            </w:r>
          </w:p>
        </w:tc>
        <w:tc>
          <w:tcPr>
            <w:tcW w:w="100" w:type="dxa"/>
            <w:vAlign w:val="bottom"/>
          </w:tcPr>
          <w:p>
            <w:pPr>
              <w:spacing w:after="0"/>
              <w:rPr>
                <w:sz w:val="19"/>
                <w:szCs w:val="19"/>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(198,329)</w:t>
            </w:r>
          </w:p>
        </w:tc>
        <w:tc>
          <w:tcPr>
            <w:tcW w:w="0" w:type="dxa"/>
            <w:vAlign w:val="bottom"/>
          </w:tcPr>
          <w:p>
            <w:pPr>
              <w:spacing w:after="0"/>
              <w:rPr>
                <w:sz w:val="1"/>
                <w:szCs w:val="1"/>
                <w:color w:val="auto"/>
              </w:rPr>
            </w:pPr>
          </w:p>
        </w:tc>
      </w:tr>
      <w:tr>
        <w:trPr>
          <w:trHeight w:val="223"/>
        </w:trPr>
        <w:tc>
          <w:tcPr>
            <w:tcW w:w="384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Dotdash Meredith</w:t>
            </w:r>
          </w:p>
        </w:tc>
        <w:tc>
          <w:tcPr>
            <w:tcW w:w="38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1,497,642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center"/>
              <w:ind w:left="515"/>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1,497,642</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(198,329)</w:t>
            </w:r>
          </w:p>
        </w:tc>
        <w:tc>
          <w:tcPr>
            <w:tcW w:w="0" w:type="dxa"/>
            <w:vAlign w:val="bottom"/>
          </w:tcPr>
          <w:p>
            <w:pPr>
              <w:spacing w:after="0"/>
              <w:rPr>
                <w:sz w:val="1"/>
                <w:szCs w:val="1"/>
                <w:color w:val="auto"/>
              </w:rPr>
            </w:pPr>
          </w:p>
        </w:tc>
      </w:tr>
      <w:tr>
        <w:trPr>
          <w:trHeight w:val="257"/>
        </w:trPr>
        <w:tc>
          <w:tcPr>
            <w:tcW w:w="38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Angi</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Ads and Leads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761,571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20" w:type="dxa"/>
            <w:vAlign w:val="bottom"/>
            <w:gridSpan w:val="2"/>
          </w:tcPr>
          <w:p>
            <w:pPr>
              <w:jc w:val="center"/>
              <w:ind w:left="395"/>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761,571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center"/>
              <w:ind w:left="395"/>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51,095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71,110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84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Angi</w:t>
            </w:r>
          </w:p>
        </w:tc>
        <w:tc>
          <w:tcPr>
            <w:tcW w:w="38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886,383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(2,607)</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883,776</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8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Care.com</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490,896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center"/>
              <w:ind w:left="395"/>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490,896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Search</w:t>
            </w:r>
          </w:p>
        </w:tc>
        <w:tc>
          <w:tcPr>
            <w:tcW w:w="3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20" w:type="dxa"/>
            <w:vAlign w:val="bottom"/>
            <w:gridSpan w:val="2"/>
          </w:tcPr>
          <w:p>
            <w:pPr>
              <w:jc w:val="center"/>
              <w:ind w:left="395"/>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(981,308)</w:t>
            </w: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Emerging &amp; Other</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9"/>
              </w:rPr>
              <w:t>(144,581)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center"/>
              <w:ind w:left="395"/>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(95,748)</w:t>
            </w:r>
          </w:p>
        </w:tc>
        <w:tc>
          <w:tcPr>
            <w:tcW w:w="0" w:type="dxa"/>
            <w:vAlign w:val="bottom"/>
          </w:tcPr>
          <w:p>
            <w:pPr>
              <w:spacing w:after="0"/>
              <w:rPr>
                <w:sz w:val="1"/>
                <w:szCs w:val="1"/>
                <w:color w:val="auto"/>
              </w:rPr>
            </w:pPr>
          </w:p>
        </w:tc>
      </w:tr>
      <w:tr>
        <w:trPr>
          <w:trHeight w:val="223"/>
        </w:trPr>
        <w:tc>
          <w:tcPr>
            <w:tcW w:w="3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3,024,266</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99"/>
              </w:rPr>
              <w:t>(144,581)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(2,607)</w:t>
            </w:r>
          </w:p>
        </w:tc>
        <w:tc>
          <w:tcPr>
            <w:tcW w:w="120" w:type="dxa"/>
            <w:vAlign w:val="bottom"/>
          </w:tcPr>
          <w:p>
            <w:pPr>
              <w:spacing w:after="0"/>
              <w:rPr>
                <w:sz w:val="19"/>
                <w:szCs w:val="19"/>
                <w:color w:val="auto"/>
              </w:rPr>
            </w:pPr>
          </w:p>
        </w:tc>
        <w:tc>
          <w:tcPr>
            <w:tcW w:w="4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2,877,078</w:t>
            </w:r>
          </w:p>
        </w:tc>
        <w:tc>
          <w:tcPr>
            <w:tcW w:w="100" w:type="dxa"/>
            <w:vAlign w:val="bottom"/>
          </w:tcPr>
          <w:p>
            <w:pPr>
              <w:spacing w:after="0"/>
              <w:rPr>
                <w:sz w:val="19"/>
                <w:szCs w:val="19"/>
                <w:color w:val="auto"/>
              </w:rPr>
            </w:pPr>
          </w:p>
        </w:tc>
        <w:tc>
          <w:tcPr>
            <w:tcW w:w="5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(1,275,385)</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120" w:firstLine="405"/>
        <w:spacing w:after="0" w:line="239" w:lineRule="auto"/>
        <w:rPr>
          <w:sz w:val="20"/>
          <w:szCs w:val="20"/>
          <w:color w:val="auto"/>
        </w:rPr>
      </w:pPr>
      <w:r>
        <w:rPr>
          <w:rFonts w:ascii="Times New Roman" w:cs="Times New Roman" w:eastAsia="Times New Roman" w:hAnsi="Times New Roman"/>
          <w:sz w:val="18"/>
          <w:szCs w:val="18"/>
          <w:color w:val="auto"/>
        </w:rPr>
        <w:t>Deductions at Emerging &amp; Other are due to the sale of assets of Mosaic Group on February 15, 2024. The accumulated impairment losses at December 31, 2024 and 2023 within Emerging &amp; Other are attributable to Mosaic Group. See “</w:t>
      </w:r>
      <w:r>
        <w:rPr>
          <w:rFonts w:ascii="Times New Roman" w:cs="Times New Roman" w:eastAsia="Times New Roman" w:hAnsi="Times New Roman"/>
          <w:sz w:val="18"/>
          <w:szCs w:val="18"/>
          <w:u w:val="single" w:color="auto"/>
          <w:color w:val="0000FF"/>
        </w:rPr>
        <w:t>Note 2—Summary of Significant Accounting Policies</w:t>
      </w:r>
      <w:r>
        <w:rPr>
          <w:rFonts w:ascii="Times New Roman" w:cs="Times New Roman" w:eastAsia="Times New Roman" w:hAnsi="Times New Roman"/>
          <w:sz w:val="18"/>
          <w:szCs w:val="18"/>
          <w:color w:val="auto"/>
        </w:rPr>
        <w:t>” for further discussion of the Company’s assessments of impairment of goodwill. Prior to the acquisition of Meredith in 2021, Dotdash’s previous goodwill balance of $198.3 million was fully impaired, resulting in its balance reflected in accumulated impairment losses at both December 31, 2024 and 2023. As a result of impairments previously recorded, the Search reportable segment has no goodwill.</w:t>
      </w:r>
    </w:p>
    <w:p>
      <w:pPr>
        <w:spacing w:after="0" w:line="184"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balance of goodwill by reportable segment, including the changes in the carrying value of goodwill and accumulated impairment losses, for the year ended December 31, 2023</w:t>
      </w:r>
      <w:r>
        <w:rPr>
          <w:rFonts w:ascii="Times New Roman" w:cs="Times New Roman" w:eastAsia="Times New Roman" w:hAnsi="Times New Roman"/>
          <w:sz w:val="14"/>
          <w:szCs w:val="14"/>
          <w:b w:val="1"/>
          <w:bCs w:val="1"/>
          <w:color w:val="auto"/>
        </w:rPr>
        <w: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200" w:type="dxa"/>
            <w:vAlign w:val="bottom"/>
          </w:tcPr>
          <w:p>
            <w:pPr>
              <w:spacing w:after="0"/>
              <w:rPr>
                <w:sz w:val="13"/>
                <w:szCs w:val="13"/>
                <w:color w:val="auto"/>
              </w:rPr>
            </w:pPr>
          </w:p>
        </w:tc>
        <w:tc>
          <w:tcPr>
            <w:tcW w:w="14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60" w:type="dxa"/>
            <w:vAlign w:val="bottom"/>
          </w:tcPr>
          <w:p>
            <w:pPr>
              <w:spacing w:after="0"/>
              <w:rPr>
                <w:sz w:val="13"/>
                <w:szCs w:val="13"/>
                <w:color w:val="auto"/>
              </w:rPr>
            </w:pPr>
          </w:p>
        </w:tc>
        <w:tc>
          <w:tcPr>
            <w:tcW w:w="160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46"/>
        </w:trPr>
        <w:tc>
          <w:tcPr>
            <w:tcW w:w="3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140" w:type="dxa"/>
            <w:vAlign w:val="bottom"/>
          </w:tcPr>
          <w:p>
            <w:pPr>
              <w:spacing w:after="0"/>
              <w:rPr>
                <w:sz w:val="12"/>
                <w:szCs w:val="12"/>
                <w:color w:val="auto"/>
              </w:rPr>
            </w:pPr>
          </w:p>
        </w:tc>
        <w:tc>
          <w:tcPr>
            <w:tcW w:w="100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Exchange</w:t>
            </w:r>
          </w:p>
        </w:tc>
        <w:tc>
          <w:tcPr>
            <w:tcW w:w="20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jc w:val="center"/>
              <w:ind w:right="74"/>
              <w:spacing w:after="0" w:line="146" w:lineRule="exact"/>
              <w:rPr>
                <w:sz w:val="20"/>
                <w:szCs w:val="20"/>
                <w:color w:val="auto"/>
              </w:rPr>
            </w:pPr>
            <w:r>
              <w:rPr>
                <w:rFonts w:ascii="Times New Roman" w:cs="Times New Roman" w:eastAsia="Times New Roman" w:hAnsi="Times New Roman"/>
                <w:sz w:val="14"/>
                <w:szCs w:val="14"/>
                <w:b w:val="1"/>
                <w:bCs w:val="1"/>
                <w:color w:val="auto"/>
              </w:rPr>
              <w:t>Impairment Losses at</w:t>
            </w:r>
          </w:p>
        </w:tc>
        <w:tc>
          <w:tcPr>
            <w:tcW w:w="0" w:type="dxa"/>
            <w:vAlign w:val="bottom"/>
          </w:tcPr>
          <w:p>
            <w:pPr>
              <w:spacing w:after="0"/>
              <w:rPr>
                <w:sz w:val="1"/>
                <w:szCs w:val="1"/>
                <w:color w:val="auto"/>
              </w:rPr>
            </w:pPr>
          </w:p>
        </w:tc>
      </w:tr>
      <w:tr>
        <w:trPr>
          <w:trHeight w:val="198"/>
        </w:trPr>
        <w:tc>
          <w:tcPr>
            <w:tcW w:w="39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95"/>
        </w:trPr>
        <w:tc>
          <w:tcPr>
            <w:tcW w:w="3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Dotdash Meredith</w:t>
            </w: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Digital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1,497,642</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1,497,642</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(198,329)</w:t>
            </w:r>
          </w:p>
        </w:tc>
        <w:tc>
          <w:tcPr>
            <w:tcW w:w="0" w:type="dxa"/>
            <w:vAlign w:val="bottom"/>
          </w:tcPr>
          <w:p>
            <w:pPr>
              <w:spacing w:after="0"/>
              <w:rPr>
                <w:sz w:val="1"/>
                <w:szCs w:val="1"/>
                <w:color w:val="auto"/>
              </w:rPr>
            </w:pPr>
          </w:p>
        </w:tc>
      </w:tr>
      <w:tr>
        <w:trPr>
          <w:trHeight w:val="223"/>
        </w:trPr>
        <w:tc>
          <w:tcPr>
            <w:tcW w:w="392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Dotdash Meredith</w:t>
            </w:r>
          </w:p>
        </w:tc>
        <w:tc>
          <w:tcPr>
            <w:tcW w:w="16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1,497,642</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1,497,642</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(198,329)</w:t>
            </w:r>
          </w:p>
        </w:tc>
        <w:tc>
          <w:tcPr>
            <w:tcW w:w="0" w:type="dxa"/>
            <w:vAlign w:val="bottom"/>
          </w:tcPr>
          <w:p>
            <w:pPr>
              <w:spacing w:after="0"/>
              <w:rPr>
                <w:sz w:val="1"/>
                <w:szCs w:val="1"/>
                <w:color w:val="auto"/>
              </w:rPr>
            </w:pPr>
          </w:p>
        </w:tc>
      </w:tr>
      <w:tr>
        <w:trPr>
          <w:trHeight w:val="256"/>
        </w:trPr>
        <w:tc>
          <w:tcPr>
            <w:tcW w:w="39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Angi</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Ads and Leads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761,571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761,571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51,095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51,095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70,619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73,717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92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Angi</w:t>
            </w:r>
          </w:p>
        </w:tc>
        <w:tc>
          <w:tcPr>
            <w:tcW w:w="16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883,285</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886,383</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9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Care.com</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490,896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490,896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Search</w:t>
            </w:r>
          </w:p>
        </w:tc>
        <w:tc>
          <w:tcPr>
            <w:tcW w:w="16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(981,308)</w:t>
            </w:r>
          </w:p>
        </w:tc>
        <w:tc>
          <w:tcPr>
            <w:tcW w:w="0" w:type="dxa"/>
            <w:vAlign w:val="bottom"/>
          </w:tcPr>
          <w:p>
            <w:pPr>
              <w:spacing w:after="0"/>
              <w:rPr>
                <w:sz w:val="1"/>
                <w:szCs w:val="1"/>
                <w:color w:val="auto"/>
              </w:rPr>
            </w:pPr>
          </w:p>
        </w:tc>
      </w:tr>
      <w:tr>
        <w:trPr>
          <w:trHeight w:val="229"/>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Emerging &amp; Other</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158,345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8"/>
              </w:rPr>
              <w:t>(9,000)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149,345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(95,748)</w:t>
            </w:r>
          </w:p>
        </w:tc>
        <w:tc>
          <w:tcPr>
            <w:tcW w:w="0" w:type="dxa"/>
            <w:vAlign w:val="bottom"/>
          </w:tcPr>
          <w:p>
            <w:pPr>
              <w:spacing w:after="0"/>
              <w:rPr>
                <w:sz w:val="1"/>
                <w:szCs w:val="1"/>
                <w:color w:val="auto"/>
              </w:rPr>
            </w:pPr>
          </w:p>
        </w:tc>
      </w:tr>
      <w:tr>
        <w:trPr>
          <w:trHeight w:val="223"/>
        </w:trPr>
        <w:tc>
          <w:tcPr>
            <w:tcW w:w="3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3,030,168</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w w:val="98"/>
              </w:rPr>
              <w:t>(9,000)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3,098</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3,024,266</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(1,275,385)</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19" w:name="page120"/>
    <w:bookmarkEnd w:id="1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IAC INC. AND SUBSIDIARIES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60" w:firstLine="405"/>
        <w:spacing w:after="0" w:line="250" w:lineRule="auto"/>
        <w:rPr>
          <w:sz w:val="20"/>
          <w:szCs w:val="20"/>
          <w:color w:val="auto"/>
        </w:rPr>
      </w:pPr>
      <w:r>
        <w:rPr>
          <w:rFonts w:ascii="Times New Roman" w:cs="Times New Roman" w:eastAsia="Times New Roman" w:hAnsi="Times New Roman"/>
          <w:sz w:val="18"/>
          <w:szCs w:val="18"/>
          <w:color w:val="auto"/>
        </w:rPr>
        <w:t>During the third quarter of 2023, the Company reassessed the fair value of the Mosaic Group reporting unit (included within Emerging &amp; Other prior to the sale of its assets on February 15, 2024) and recorded a goodwill impairment of $9.0 million. See “</w:t>
      </w:r>
      <w:r>
        <w:rPr>
          <w:rFonts w:ascii="Times New Roman" w:cs="Times New Roman" w:eastAsia="Times New Roman" w:hAnsi="Times New Roman"/>
          <w:sz w:val="18"/>
          <w:szCs w:val="18"/>
          <w:u w:val="single" w:color="auto"/>
          <w:color w:val="0000FF"/>
        </w:rPr>
        <w:t>Note 2—Summary of Significant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Policies</w:t>
      </w:r>
      <w:r>
        <w:rPr>
          <w:rFonts w:ascii="Times New Roman" w:cs="Times New Roman" w:eastAsia="Times New Roman" w:hAnsi="Times New Roman"/>
          <w:sz w:val="18"/>
          <w:szCs w:val="18"/>
          <w:color w:val="000000"/>
        </w:rPr>
        <w:t>” for further discussion of the Company’s assessments of impairment of goodwill.</w:t>
      </w:r>
    </w:p>
    <w:p>
      <w:pPr>
        <w:spacing w:after="0" w:line="17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At December 31, 2024 and 2023, intangible assets with definite lives are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gridSpan w:val="2"/>
          </w:tcPr>
          <w:p>
            <w:pPr>
              <w:jc w:val="center"/>
              <w:ind w:right="400"/>
              <w:spacing w:after="0" w:line="129" w:lineRule="exact"/>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1"/>
                <w:szCs w:val="11"/>
                <w:color w:val="auto"/>
              </w:rPr>
            </w:pPr>
          </w:p>
        </w:tc>
        <w:tc>
          <w:tcPr>
            <w:tcW w:w="13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540" w:type="dxa"/>
            <w:vAlign w:val="bottom"/>
            <w:vMerge w:val="restart"/>
          </w:tcPr>
          <w:p>
            <w:pPr>
              <w:jc w:val="center"/>
              <w:ind w:left="35"/>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vMerge w:val="restart"/>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Net</w:t>
            </w:r>
          </w:p>
        </w:tc>
        <w:tc>
          <w:tcPr>
            <w:tcW w:w="1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5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540" w:type="dxa"/>
            <w:vAlign w:val="bottom"/>
            <w:tcBorders>
              <w:bottom w:val="single" w:sz="8" w:color="auto"/>
            </w:tcBorders>
          </w:tcPr>
          <w:p>
            <w:pPr>
              <w:jc w:val="center"/>
              <w:ind w:left="15"/>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540" w:type="dxa"/>
            <w:vAlign w:val="bottom"/>
          </w:tcPr>
          <w:p>
            <w:pPr>
              <w:jc w:val="center"/>
              <w:ind w:left="15"/>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0" w:type="dxa"/>
            <w:vAlign w:val="bottom"/>
          </w:tcPr>
          <w:p>
            <w:pPr>
              <w:spacing w:after="0"/>
              <w:rPr>
                <w:sz w:val="1"/>
                <w:szCs w:val="1"/>
                <w:color w:val="auto"/>
              </w:rPr>
            </w:pPr>
          </w:p>
        </w:tc>
      </w:tr>
      <w:tr>
        <w:trPr>
          <w:trHeight w:val="236"/>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Advertiser relationships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297,000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(211,694)</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85,306</w:t>
            </w:r>
          </w:p>
        </w:tc>
        <w:tc>
          <w:tcPr>
            <w:tcW w:w="1540" w:type="dxa"/>
            <w:vAlign w:val="bottom"/>
            <w:shd w:val="clear" w:color="auto" w:fill="CCEEFF"/>
          </w:tcPr>
          <w:p>
            <w:pPr>
              <w:jc w:val="center"/>
              <w:ind w:left="35"/>
              <w:spacing w:after="0"/>
              <w:rPr>
                <w:sz w:val="20"/>
                <w:szCs w:val="20"/>
                <w:color w:val="auto"/>
              </w:rPr>
            </w:pPr>
            <w:r>
              <w:rPr>
                <w:rFonts w:ascii="Times New Roman" w:cs="Times New Roman" w:eastAsia="Times New Roman" w:hAnsi="Times New Roman"/>
                <w:sz w:val="18"/>
                <w:szCs w:val="18"/>
                <w:color w:val="auto"/>
                <w:w w:val="97"/>
              </w:rPr>
              <w:t>5.0</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174,052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(174,052)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center"/>
              <w:ind w:left="35"/>
              <w:spacing w:after="0"/>
              <w:rPr>
                <w:sz w:val="20"/>
                <w:szCs w:val="20"/>
                <w:color w:val="auto"/>
              </w:rPr>
            </w:pPr>
            <w:r>
              <w:rPr>
                <w:rFonts w:ascii="Times New Roman" w:cs="Times New Roman" w:eastAsia="Times New Roman" w:hAnsi="Times New Roman"/>
                <w:sz w:val="18"/>
                <w:szCs w:val="18"/>
                <w:color w:val="auto"/>
                <w:w w:val="97"/>
              </w:rPr>
              <w:t>3.7</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Licensee relationships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(123,115)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47,885</w:t>
            </w:r>
          </w:p>
        </w:tc>
        <w:tc>
          <w:tcPr>
            <w:tcW w:w="1540" w:type="dxa"/>
            <w:vAlign w:val="bottom"/>
            <w:shd w:val="clear" w:color="auto" w:fill="CCEEFF"/>
          </w:tcPr>
          <w:p>
            <w:pPr>
              <w:jc w:val="center"/>
              <w:ind w:left="35"/>
              <w:spacing w:after="0"/>
              <w:rPr>
                <w:sz w:val="20"/>
                <w:szCs w:val="20"/>
                <w:color w:val="auto"/>
              </w:rPr>
            </w:pPr>
            <w:r>
              <w:rPr>
                <w:rFonts w:ascii="Times New Roman" w:cs="Times New Roman" w:eastAsia="Times New Roman" w:hAnsi="Times New Roman"/>
                <w:sz w:val="18"/>
                <w:szCs w:val="18"/>
                <w:color w:val="auto"/>
                <w:w w:val="97"/>
              </w:rPr>
              <w:t>4.9</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139,419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(78,940)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60,479</w:t>
            </w:r>
          </w:p>
        </w:tc>
        <w:tc>
          <w:tcPr>
            <w:tcW w:w="1540" w:type="dxa"/>
            <w:vAlign w:val="bottom"/>
          </w:tcPr>
          <w:p>
            <w:pPr>
              <w:jc w:val="center"/>
              <w:ind w:left="35"/>
              <w:spacing w:after="0"/>
              <w:rPr>
                <w:sz w:val="20"/>
                <w:szCs w:val="20"/>
                <w:color w:val="auto"/>
              </w:rPr>
            </w:pPr>
            <w:r>
              <w:rPr>
                <w:rFonts w:ascii="Times New Roman" w:cs="Times New Roman" w:eastAsia="Times New Roman" w:hAnsi="Times New Roman"/>
                <w:sz w:val="18"/>
                <w:szCs w:val="18"/>
                <w:color w:val="auto"/>
                <w:w w:val="97"/>
              </w:rPr>
              <w:t>8.3</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Content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104,939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(104,939)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center"/>
              <w:ind w:left="35"/>
              <w:spacing w:after="0"/>
              <w:rPr>
                <w:sz w:val="20"/>
                <w:szCs w:val="20"/>
                <w:color w:val="auto"/>
              </w:rPr>
            </w:pPr>
            <w:r>
              <w:rPr>
                <w:rFonts w:ascii="Times New Roman" w:cs="Times New Roman" w:eastAsia="Times New Roman" w:hAnsi="Times New Roman"/>
                <w:sz w:val="18"/>
                <w:szCs w:val="18"/>
                <w:color w:val="auto"/>
                <w:w w:val="97"/>
              </w:rPr>
              <w:t>2.9</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lists and user base</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68,084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(52,732)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15,352</w:t>
            </w:r>
          </w:p>
        </w:tc>
        <w:tc>
          <w:tcPr>
            <w:tcW w:w="1540" w:type="dxa"/>
            <w:vAlign w:val="bottom"/>
          </w:tcPr>
          <w:p>
            <w:pPr>
              <w:jc w:val="center"/>
              <w:ind w:left="35"/>
              <w:spacing w:after="0"/>
              <w:rPr>
                <w:sz w:val="20"/>
                <w:szCs w:val="20"/>
                <w:color w:val="auto"/>
              </w:rPr>
            </w:pPr>
            <w:r>
              <w:rPr>
                <w:rFonts w:ascii="Times New Roman" w:cs="Times New Roman" w:eastAsia="Times New Roman" w:hAnsi="Times New Roman"/>
                <w:sz w:val="18"/>
                <w:szCs w:val="18"/>
                <w:color w:val="auto"/>
                <w:w w:val="97"/>
              </w:rPr>
              <w:t>6.4</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relationships</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(6,298)</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center"/>
              <w:ind w:left="35"/>
              <w:spacing w:after="0"/>
              <w:rPr>
                <w:sz w:val="20"/>
                <w:szCs w:val="20"/>
                <w:color w:val="auto"/>
              </w:rPr>
            </w:pPr>
            <w:r>
              <w:rPr>
                <w:rFonts w:ascii="Times New Roman" w:cs="Times New Roman" w:eastAsia="Times New Roman" w:hAnsi="Times New Roman"/>
                <w:sz w:val="18"/>
                <w:szCs w:val="18"/>
                <w:color w:val="auto"/>
                <w:w w:val="97"/>
              </w:rPr>
              <w:t>2.7</w:t>
            </w:r>
          </w:p>
        </w:tc>
        <w:tc>
          <w:tcPr>
            <w:tcW w:w="0" w:type="dxa"/>
            <w:vAlign w:val="bottom"/>
          </w:tcPr>
          <w:p>
            <w:pPr>
              <w:spacing w:after="0"/>
              <w:rPr>
                <w:sz w:val="1"/>
                <w:szCs w:val="1"/>
                <w:color w:val="auto"/>
              </w:rPr>
            </w:pPr>
          </w:p>
        </w:tc>
      </w:tr>
      <w:tr>
        <w:trPr>
          <w:trHeight w:val="223"/>
        </w:trPr>
        <w:tc>
          <w:tcPr>
            <w:tcW w:w="5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960,792</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(751,770)</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209,022</w:t>
            </w:r>
          </w:p>
        </w:tc>
        <w:tc>
          <w:tcPr>
            <w:tcW w:w="1540" w:type="dxa"/>
            <w:vAlign w:val="bottom"/>
          </w:tcPr>
          <w:p>
            <w:pPr>
              <w:jc w:val="center"/>
              <w:ind w:left="35"/>
              <w:spacing w:after="0"/>
              <w:rPr>
                <w:sz w:val="20"/>
                <w:szCs w:val="20"/>
                <w:color w:val="auto"/>
              </w:rPr>
            </w:pPr>
            <w:r>
              <w:rPr>
                <w:rFonts w:ascii="Times New Roman" w:cs="Times New Roman" w:eastAsia="Times New Roman" w:hAnsi="Times New Roman"/>
                <w:sz w:val="18"/>
                <w:szCs w:val="18"/>
                <w:color w:val="auto"/>
                <w:w w:val="97"/>
              </w:rPr>
              <w:t>5.1</w:t>
            </w:r>
          </w:p>
        </w:tc>
        <w:tc>
          <w:tcPr>
            <w:tcW w:w="0" w:type="dxa"/>
            <w:vAlign w:val="bottom"/>
          </w:tcPr>
          <w:p>
            <w:pPr>
              <w:spacing w:after="0"/>
              <w:rPr>
                <w:sz w:val="1"/>
                <w:szCs w:val="1"/>
                <w:color w:val="auto"/>
              </w:rPr>
            </w:pPr>
          </w:p>
        </w:tc>
      </w:tr>
      <w:tr>
        <w:trPr>
          <w:trHeight w:val="21"/>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8"/>
        </w:trPr>
        <w:tc>
          <w:tcPr>
            <w:tcW w:w="5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gridSpan w:val="2"/>
          </w:tcPr>
          <w:p>
            <w:pPr>
              <w:jc w:val="center"/>
              <w:ind w:right="40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1"/>
                <w:szCs w:val="11"/>
                <w:color w:val="auto"/>
              </w:rPr>
            </w:pPr>
          </w:p>
        </w:tc>
        <w:tc>
          <w:tcPr>
            <w:tcW w:w="13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540" w:type="dxa"/>
            <w:vAlign w:val="bottom"/>
            <w:vMerge w:val="restart"/>
          </w:tcPr>
          <w:p>
            <w:pPr>
              <w:jc w:val="center"/>
              <w:ind w:left="35"/>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vMerge w:val="restart"/>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Net</w:t>
            </w:r>
          </w:p>
        </w:tc>
        <w:tc>
          <w:tcPr>
            <w:tcW w:w="1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5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5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540" w:type="dxa"/>
            <w:vAlign w:val="bottom"/>
            <w:tcBorders>
              <w:bottom w:val="single" w:sz="8" w:color="auto"/>
            </w:tcBorders>
          </w:tcPr>
          <w:p>
            <w:pPr>
              <w:jc w:val="center"/>
              <w:ind w:left="15"/>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0" w:type="dxa"/>
            <w:vAlign w:val="bottom"/>
          </w:tcPr>
          <w:p>
            <w:pPr>
              <w:spacing w:after="0"/>
              <w:rPr>
                <w:sz w:val="1"/>
                <w:szCs w:val="1"/>
                <w:color w:val="auto"/>
              </w:rPr>
            </w:pPr>
          </w:p>
        </w:tc>
      </w:tr>
      <w:tr>
        <w:trPr>
          <w:trHeight w:val="195"/>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540" w:type="dxa"/>
            <w:vAlign w:val="bottom"/>
          </w:tcPr>
          <w:p>
            <w:pPr>
              <w:jc w:val="center"/>
              <w:ind w:left="15"/>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0" w:type="dxa"/>
            <w:vAlign w:val="bottom"/>
          </w:tcPr>
          <w:p>
            <w:pPr>
              <w:spacing w:after="0"/>
              <w:rPr>
                <w:sz w:val="1"/>
                <w:szCs w:val="1"/>
                <w:color w:val="auto"/>
              </w:rPr>
            </w:pPr>
          </w:p>
        </w:tc>
      </w:tr>
      <w:tr>
        <w:trPr>
          <w:trHeight w:val="236"/>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Advertiser relationships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297,000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(154,819)</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142,181</w:t>
            </w:r>
          </w:p>
        </w:tc>
        <w:tc>
          <w:tcPr>
            <w:tcW w:w="1540" w:type="dxa"/>
            <w:vAlign w:val="bottom"/>
            <w:shd w:val="clear" w:color="auto" w:fill="CCEEFF"/>
          </w:tcPr>
          <w:p>
            <w:pPr>
              <w:jc w:val="center"/>
              <w:ind w:left="35"/>
              <w:spacing w:after="0"/>
              <w:rPr>
                <w:sz w:val="20"/>
                <w:szCs w:val="20"/>
                <w:color w:val="auto"/>
              </w:rPr>
            </w:pPr>
            <w:r>
              <w:rPr>
                <w:rFonts w:ascii="Times New Roman" w:cs="Times New Roman" w:eastAsia="Times New Roman" w:hAnsi="Times New Roman"/>
                <w:sz w:val="18"/>
                <w:szCs w:val="18"/>
                <w:color w:val="auto"/>
                <w:w w:val="97"/>
              </w:rPr>
              <w:t>5.0</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198,344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(196,816)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1540" w:type="dxa"/>
            <w:vAlign w:val="bottom"/>
          </w:tcPr>
          <w:p>
            <w:pPr>
              <w:jc w:val="center"/>
              <w:ind w:left="35"/>
              <w:spacing w:after="0"/>
              <w:rPr>
                <w:sz w:val="20"/>
                <w:szCs w:val="20"/>
                <w:color w:val="auto"/>
              </w:rPr>
            </w:pPr>
            <w:r>
              <w:rPr>
                <w:rFonts w:ascii="Times New Roman" w:cs="Times New Roman" w:eastAsia="Times New Roman" w:hAnsi="Times New Roman"/>
                <w:sz w:val="18"/>
                <w:szCs w:val="18"/>
                <w:color w:val="auto"/>
                <w:w w:val="97"/>
              </w:rPr>
              <w:t>3.5</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Licensee relationships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(85,496)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85,504</w:t>
            </w:r>
          </w:p>
        </w:tc>
        <w:tc>
          <w:tcPr>
            <w:tcW w:w="1540" w:type="dxa"/>
            <w:vAlign w:val="bottom"/>
            <w:shd w:val="clear" w:color="auto" w:fill="CCEEFF"/>
          </w:tcPr>
          <w:p>
            <w:pPr>
              <w:jc w:val="center"/>
              <w:ind w:left="35"/>
              <w:spacing w:after="0"/>
              <w:rPr>
                <w:sz w:val="20"/>
                <w:szCs w:val="20"/>
                <w:color w:val="auto"/>
              </w:rPr>
            </w:pPr>
            <w:r>
              <w:rPr>
                <w:rFonts w:ascii="Times New Roman" w:cs="Times New Roman" w:eastAsia="Times New Roman" w:hAnsi="Times New Roman"/>
                <w:sz w:val="18"/>
                <w:szCs w:val="18"/>
                <w:color w:val="auto"/>
                <w:w w:val="97"/>
              </w:rPr>
              <w:t>4.9</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120,759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(55,541)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65,218</w:t>
            </w:r>
          </w:p>
        </w:tc>
        <w:tc>
          <w:tcPr>
            <w:tcW w:w="1540" w:type="dxa"/>
            <w:vAlign w:val="bottom"/>
          </w:tcPr>
          <w:p>
            <w:pPr>
              <w:jc w:val="center"/>
              <w:ind w:left="35"/>
              <w:spacing w:after="0"/>
              <w:rPr>
                <w:sz w:val="20"/>
                <w:szCs w:val="20"/>
                <w:color w:val="auto"/>
              </w:rPr>
            </w:pPr>
            <w:r>
              <w:rPr>
                <w:rFonts w:ascii="Times New Roman" w:cs="Times New Roman" w:eastAsia="Times New Roman" w:hAnsi="Times New Roman"/>
                <w:sz w:val="18"/>
                <w:szCs w:val="18"/>
                <w:color w:val="auto"/>
                <w:w w:val="97"/>
              </w:rPr>
              <w:t>9.2</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Content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104,939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(88,845)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16,094</w:t>
            </w:r>
          </w:p>
        </w:tc>
        <w:tc>
          <w:tcPr>
            <w:tcW w:w="1540" w:type="dxa"/>
            <w:vAlign w:val="bottom"/>
            <w:shd w:val="clear" w:color="auto" w:fill="CCEEFF"/>
          </w:tcPr>
          <w:p>
            <w:pPr>
              <w:jc w:val="center"/>
              <w:ind w:left="35"/>
              <w:spacing w:after="0"/>
              <w:rPr>
                <w:sz w:val="20"/>
                <w:szCs w:val="20"/>
                <w:color w:val="auto"/>
              </w:rPr>
            </w:pPr>
            <w:r>
              <w:rPr>
                <w:rFonts w:ascii="Times New Roman" w:cs="Times New Roman" w:eastAsia="Times New Roman" w:hAnsi="Times New Roman"/>
                <w:sz w:val="18"/>
                <w:szCs w:val="18"/>
                <w:color w:val="auto"/>
                <w:w w:val="97"/>
              </w:rPr>
              <w:t>2.9</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lists and user base</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68,661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(48,721)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19,940</w:t>
            </w:r>
          </w:p>
        </w:tc>
        <w:tc>
          <w:tcPr>
            <w:tcW w:w="1540" w:type="dxa"/>
            <w:vAlign w:val="bottom"/>
          </w:tcPr>
          <w:p>
            <w:pPr>
              <w:jc w:val="center"/>
              <w:ind w:left="35"/>
              <w:spacing w:after="0"/>
              <w:rPr>
                <w:sz w:val="20"/>
                <w:szCs w:val="20"/>
                <w:color w:val="auto"/>
              </w:rPr>
            </w:pPr>
            <w:r>
              <w:rPr>
                <w:rFonts w:ascii="Times New Roman" w:cs="Times New Roman" w:eastAsia="Times New Roman" w:hAnsi="Times New Roman"/>
                <w:sz w:val="18"/>
                <w:szCs w:val="18"/>
                <w:color w:val="auto"/>
                <w:w w:val="97"/>
              </w:rPr>
              <w:t>6.4</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relationships</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(6,407)</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540" w:type="dxa"/>
            <w:vAlign w:val="bottom"/>
            <w:shd w:val="clear" w:color="auto" w:fill="CCEEFF"/>
          </w:tcPr>
          <w:p>
            <w:pPr>
              <w:jc w:val="center"/>
              <w:ind w:left="35"/>
              <w:spacing w:after="0"/>
              <w:rPr>
                <w:sz w:val="20"/>
                <w:szCs w:val="20"/>
                <w:color w:val="auto"/>
              </w:rPr>
            </w:pPr>
            <w:r>
              <w:rPr>
                <w:rFonts w:ascii="Times New Roman" w:cs="Times New Roman" w:eastAsia="Times New Roman" w:hAnsi="Times New Roman"/>
                <w:sz w:val="18"/>
                <w:szCs w:val="18"/>
                <w:color w:val="auto"/>
                <w:w w:val="97"/>
              </w:rPr>
              <w:t>2.7</w:t>
            </w:r>
          </w:p>
        </w:tc>
        <w:tc>
          <w:tcPr>
            <w:tcW w:w="0" w:type="dxa"/>
            <w:vAlign w:val="bottom"/>
          </w:tcPr>
          <w:p>
            <w:pPr>
              <w:spacing w:after="0"/>
              <w:rPr>
                <w:sz w:val="1"/>
                <w:szCs w:val="1"/>
                <w:color w:val="auto"/>
              </w:rPr>
            </w:pPr>
          </w:p>
        </w:tc>
      </w:tr>
      <w:tr>
        <w:trPr>
          <w:trHeight w:val="223"/>
        </w:trPr>
        <w:tc>
          <w:tcPr>
            <w:tcW w:w="5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967,122</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(636,645)</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330,477</w:t>
            </w:r>
          </w:p>
        </w:tc>
        <w:tc>
          <w:tcPr>
            <w:tcW w:w="1540" w:type="dxa"/>
            <w:vAlign w:val="bottom"/>
          </w:tcPr>
          <w:p>
            <w:pPr>
              <w:jc w:val="center"/>
              <w:ind w:left="35"/>
              <w:spacing w:after="0"/>
              <w:rPr>
                <w:sz w:val="20"/>
                <w:szCs w:val="20"/>
                <w:color w:val="auto"/>
              </w:rPr>
            </w:pPr>
            <w:r>
              <w:rPr>
                <w:rFonts w:ascii="Times New Roman" w:cs="Times New Roman" w:eastAsia="Times New Roman" w:hAnsi="Times New Roman"/>
                <w:sz w:val="18"/>
                <w:szCs w:val="18"/>
                <w:color w:val="auto"/>
                <w:w w:val="97"/>
              </w:rPr>
              <w:t>5.1</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At December 31, 2024, amortization of intangible assets with definite lives for each of the next five years and thereafter is estimated to be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220" w:type="dxa"/>
            <w:vAlign w:val="bottom"/>
          </w:tcPr>
          <w:p>
            <w:pPr>
              <w:spacing w:after="0"/>
              <w:rPr>
                <w:sz w:val="13"/>
                <w:szCs w:val="13"/>
                <w:color w:val="auto"/>
              </w:rPr>
            </w:pPr>
          </w:p>
        </w:tc>
        <w:tc>
          <w:tcPr>
            <w:tcW w:w="136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4"/>
        </w:trPr>
        <w:tc>
          <w:tcPr>
            <w:tcW w:w="20" w:type="dxa"/>
            <w:vAlign w:val="bottom"/>
            <w:tcBorders>
              <w:bottom w:val="single" w:sz="8" w:color="CCEEFF"/>
            </w:tcBorders>
          </w:tcPr>
          <w:p>
            <w:pPr>
              <w:spacing w:after="0"/>
              <w:rPr>
                <w:sz w:val="2"/>
                <w:szCs w:val="2"/>
                <w:color w:val="auto"/>
              </w:rPr>
            </w:pPr>
          </w:p>
        </w:tc>
        <w:tc>
          <w:tcPr>
            <w:tcW w:w="1640" w:type="dxa"/>
            <w:vAlign w:val="bottom"/>
            <w:tcBorders>
              <w:top w:val="single" w:sz="8" w:color="auto"/>
              <w:bottom w:val="single" w:sz="8" w:color="CCEEFF"/>
            </w:tcBorders>
          </w:tcPr>
          <w:p>
            <w:pPr>
              <w:spacing w:after="0"/>
              <w:rPr>
                <w:sz w:val="2"/>
                <w:szCs w:val="2"/>
                <w:color w:val="auto"/>
              </w:rPr>
            </w:pPr>
          </w:p>
        </w:tc>
        <w:tc>
          <w:tcPr>
            <w:tcW w:w="7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23"/>
        </w:trPr>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79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92,710</w:t>
            </w:r>
          </w:p>
        </w:tc>
      </w:tr>
      <w:tr>
        <w:trPr>
          <w:trHeight w:val="230"/>
        </w:trPr>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7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73,030</w:t>
            </w:r>
          </w:p>
        </w:tc>
      </w:tr>
      <w:tr>
        <w:trPr>
          <w:trHeight w:val="230"/>
        </w:trPr>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7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15,142</w:t>
            </w:r>
          </w:p>
        </w:tc>
      </w:tr>
      <w:tr>
        <w:trPr>
          <w:trHeight w:val="229"/>
        </w:trPr>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7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5,519</w:t>
            </w:r>
          </w:p>
        </w:tc>
      </w:tr>
      <w:tr>
        <w:trPr>
          <w:trHeight w:val="230"/>
        </w:trPr>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7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5,359</w:t>
            </w:r>
          </w:p>
        </w:tc>
      </w:tr>
      <w:tr>
        <w:trPr>
          <w:trHeight w:val="230"/>
        </w:trPr>
        <w:tc>
          <w:tcPr>
            <w:tcW w:w="20" w:type="dxa"/>
            <w:vAlign w:val="bottom"/>
            <w:tcBorders>
              <w:bottom w:val="single" w:sz="8" w:color="CCEEFF"/>
            </w:tcBorders>
          </w:tcPr>
          <w:p>
            <w:pPr>
              <w:spacing w:after="0"/>
              <w:rPr>
                <w:sz w:val="19"/>
                <w:szCs w:val="19"/>
                <w:color w:val="auto"/>
              </w:rPr>
            </w:pPr>
          </w:p>
        </w:tc>
        <w:tc>
          <w:tcPr>
            <w:tcW w:w="96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17,262</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96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209,022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7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IAC INC. AND SUBSIDIARIES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5—LEASES</w:t>
      </w:r>
    </w:p>
    <w:p>
      <w:pPr>
        <w:spacing w:after="0" w:line="229" w:lineRule="exact"/>
        <w:rPr>
          <w:sz w:val="20"/>
          <w:szCs w:val="20"/>
          <w:color w:val="auto"/>
        </w:rPr>
      </w:pPr>
    </w:p>
    <w:p>
      <w:pPr>
        <w:ind w:right="500" w:firstLine="405"/>
        <w:spacing w:after="0" w:line="282" w:lineRule="auto"/>
        <w:rPr>
          <w:sz w:val="20"/>
          <w:szCs w:val="20"/>
          <w:color w:val="auto"/>
        </w:rPr>
      </w:pPr>
      <w:r>
        <w:rPr>
          <w:rFonts w:ascii="Times New Roman" w:cs="Times New Roman" w:eastAsia="Times New Roman" w:hAnsi="Times New Roman"/>
          <w:sz w:val="18"/>
          <w:szCs w:val="18"/>
          <w:color w:val="auto"/>
        </w:rPr>
        <w:t>The Company primarily leases office space used in connection with its operations under various operating leases, the majority of which contain escalation clauses.</w:t>
      </w:r>
    </w:p>
    <w:p>
      <w:pPr>
        <w:spacing w:after="0" w:line="162"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 xml:space="preserve">ROU assets represent the Company’s right to use the underlying assets for the lease term and lease liabilities represent the present value of the Company’s obligation to make payments arising from these leases. ROU assets and related lease liabilities are based on the present value of fixed lease payments over the lease term using the Company's and certain of its subsidiaries' respective incremental borrowing rates on the lease commencement date, the date of acquisition for any leases acquired in connection with a business combination or January 1, 2019, the date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842”) was adopted, for leases that commenced prior to that date. The Company combines the lease and non-lease components of lease payments in determining ROU assets and related lease liabilities. If the lease includes one or more options to extend the term of the lease, the renewal option is considered in the lease term if it is reasonably certain the Company will exercise the option(s). Lease expense is recognized on a straight-line basis over the term of the lease. As permitted by ASC 842, leases with an initial term of twelve months or less (“short-term leases”) are not recorded on the balance sheet.</w:t>
      </w:r>
    </w:p>
    <w:p>
      <w:pPr>
        <w:spacing w:after="0" w:line="192" w:lineRule="exact"/>
        <w:rPr>
          <w:sz w:val="20"/>
          <w:szCs w:val="20"/>
          <w:color w:val="auto"/>
        </w:rPr>
      </w:pPr>
    </w:p>
    <w:p>
      <w:pPr>
        <w:ind w:right="180" w:firstLine="405"/>
        <w:spacing w:after="0" w:line="312" w:lineRule="auto"/>
        <w:rPr>
          <w:sz w:val="20"/>
          <w:szCs w:val="20"/>
          <w:color w:val="auto"/>
        </w:rPr>
      </w:pPr>
      <w:r>
        <w:rPr>
          <w:rFonts w:ascii="Times New Roman" w:cs="Times New Roman" w:eastAsia="Times New Roman" w:hAnsi="Times New Roman"/>
          <w:sz w:val="17"/>
          <w:szCs w:val="17"/>
          <w:color w:val="auto"/>
        </w:rPr>
        <w:t>Variable lease payments consist primarily of common area maintenance, utilities and taxes, which are not included in the recognition of ROU assets and related lease liabilities. The Company’s lease agreements do not contain any material residual value guarantees or material restrictive covenants.</w:t>
      </w:r>
    </w:p>
    <w:p>
      <w:pPr>
        <w:spacing w:after="0" w:line="14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the balances of ROU assets and lease liabilities within the balance sheet:</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gridSpan w:val="4"/>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260" w:type="dxa"/>
            <w:vAlign w:val="bottom"/>
            <w:tcBorders>
              <w:bottom w:val="single" w:sz="8" w:color="auto"/>
            </w:tcBorders>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20" w:type="dxa"/>
            <w:vAlign w:val="bottom"/>
            <w:tcBorders>
              <w:bottom w:val="single" w:sz="8" w:color="auto"/>
            </w:tcBorders>
            <w:gridSpan w:val="2"/>
            <w:vMerge w:val="continue"/>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6"/>
        </w:trPr>
        <w:tc>
          <w:tcPr>
            <w:tcW w:w="3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gridSpan w:val="4"/>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ROU assets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255,177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299,597</w:t>
            </w:r>
          </w:p>
        </w:tc>
        <w:tc>
          <w:tcPr>
            <w:tcW w:w="0" w:type="dxa"/>
            <w:vAlign w:val="bottom"/>
          </w:tcPr>
          <w:p>
            <w:pPr>
              <w:spacing w:after="0"/>
              <w:rPr>
                <w:sz w:val="1"/>
                <w:szCs w:val="1"/>
                <w:color w:val="auto"/>
              </w:rPr>
            </w:pPr>
          </w:p>
        </w:tc>
      </w:tr>
      <w:tr>
        <w:trPr>
          <w:trHeight w:val="20"/>
        </w:trPr>
        <w:tc>
          <w:tcPr>
            <w:tcW w:w="32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lease liabilities</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62,055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68,126</w:t>
            </w:r>
          </w:p>
        </w:tc>
        <w:tc>
          <w:tcPr>
            <w:tcW w:w="0" w:type="dxa"/>
            <w:vAlign w:val="bottom"/>
          </w:tcPr>
          <w:p>
            <w:pPr>
              <w:spacing w:after="0"/>
              <w:rPr>
                <w:sz w:val="1"/>
                <w:szCs w:val="1"/>
                <w:color w:val="auto"/>
              </w:rPr>
            </w:pPr>
          </w:p>
        </w:tc>
      </w:tr>
      <w:tr>
        <w:trPr>
          <w:trHeight w:val="230"/>
        </w:trPr>
        <w:tc>
          <w:tcPr>
            <w:tcW w:w="3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4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344,654</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401,118</w:t>
            </w:r>
          </w:p>
        </w:tc>
        <w:tc>
          <w:tcPr>
            <w:tcW w:w="0" w:type="dxa"/>
            <w:vAlign w:val="bottom"/>
          </w:tcPr>
          <w:p>
            <w:pPr>
              <w:spacing w:after="0"/>
              <w:rPr>
                <w:sz w:val="1"/>
                <w:szCs w:val="1"/>
                <w:color w:val="auto"/>
              </w:rPr>
            </w:pPr>
          </w:p>
        </w:tc>
      </w:tr>
      <w:tr>
        <w:trPr>
          <w:trHeight w:val="248"/>
        </w:trPr>
        <w:tc>
          <w:tcPr>
            <w:tcW w:w="32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lease liabilities</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406,709</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469,244</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bottom w:val="single" w:sz="8" w:color="CCEEFF"/>
            </w:tcBorders>
            <w:gridSpan w:val="6"/>
            <w:vMerge w:val="restart"/>
          </w:tcPr>
          <w:p>
            <w:pPr>
              <w:ind w:left="420"/>
              <w:spacing w:after="0"/>
              <w:rPr>
                <w:sz w:val="20"/>
                <w:szCs w:val="20"/>
                <w:color w:val="auto"/>
              </w:rPr>
            </w:pPr>
            <w:r>
              <w:rPr>
                <w:rFonts w:ascii="Times New Roman" w:cs="Times New Roman" w:eastAsia="Times New Roman" w:hAnsi="Times New Roman"/>
                <w:sz w:val="18"/>
                <w:szCs w:val="18"/>
                <w:color w:val="auto"/>
              </w:rPr>
              <w:t>The following table presents the net lease expense within the statement of operations:</w:t>
            </w: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6780" w:type="dxa"/>
            <w:vAlign w:val="bottom"/>
            <w:gridSpan w:val="6"/>
            <w:vMerge w:val="continue"/>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3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Lease Expense</w:t>
            </w:r>
          </w:p>
        </w:tc>
        <w:tc>
          <w:tcPr>
            <w:tcW w:w="80" w:type="dxa"/>
            <w:vAlign w:val="bottom"/>
          </w:tcPr>
          <w:p>
            <w:pPr>
              <w:spacing w:after="0"/>
              <w:rPr>
                <w:sz w:val="2"/>
                <w:szCs w:val="2"/>
                <w:color w:val="auto"/>
              </w:rPr>
            </w:pPr>
          </w:p>
        </w:tc>
        <w:tc>
          <w:tcPr>
            <w:tcW w:w="3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Statement of Operations Classification</w:t>
            </w: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2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3440" w:type="dxa"/>
            <w:vAlign w:val="bottom"/>
            <w:gridSpan w:val="3"/>
            <w:vMerge w:val="continue"/>
          </w:tcPr>
          <w:p>
            <w:pPr>
              <w:spacing w:after="0"/>
              <w:rPr>
                <w:sz w:val="16"/>
                <w:szCs w:val="16"/>
                <w:color w:val="auto"/>
              </w:rPr>
            </w:pPr>
          </w:p>
        </w:tc>
        <w:tc>
          <w:tcPr>
            <w:tcW w:w="140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90"/>
        </w:trPr>
        <w:tc>
          <w:tcPr>
            <w:tcW w:w="324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3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p>
    <w:p>
      <w:pPr>
        <w:sectPr>
          <w:pgSz w:w="11900" w:h="16838" w:orient="portrait"/>
          <w:cols w:equalWidth="0" w:num="1">
            <w:col w:w="11240"/>
          </w:cols>
          <w:pgMar w:left="320" w:top="118" w:right="339" w:bottom="1440" w:gutter="0" w:footer="0" w:header="0"/>
        </w:sectPr>
      </w:pPr>
    </w:p>
    <w:p>
      <w:pPr>
        <w:ind w:left="20"/>
        <w:spacing w:after="0"/>
        <w:rPr>
          <w:sz w:val="20"/>
          <w:szCs w:val="20"/>
          <w:color w:val="auto"/>
        </w:rPr>
      </w:pPr>
      <w:r>
        <w:rPr>
          <w:rFonts w:ascii="Times New Roman" w:cs="Times New Roman" w:eastAsia="Times New Roman" w:hAnsi="Times New Roman"/>
          <w:sz w:val="18"/>
          <w:szCs w:val="18"/>
          <w:color w:val="auto"/>
        </w:rPr>
        <w:t>Fixed lease expense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Fixed lease expense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Fixed lease expense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Fixed lease expense</w:t>
      </w:r>
    </w:p>
    <w:p>
      <w:pPr>
        <w:spacing w:after="0" w:line="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Total fixed lease expense</w:t>
      </w:r>
      <w:r>
        <w:rPr>
          <w:rFonts w:ascii="Times New Roman" w:cs="Times New Roman" w:eastAsia="Times New Roman" w:hAnsi="Times New Roman"/>
          <w:sz w:val="22"/>
          <w:szCs w:val="22"/>
          <w:color w:val="auto"/>
          <w:vertAlign w:val="superscript"/>
        </w:rPr>
        <w:t>(a)</w:t>
      </w:r>
    </w:p>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Variable lease expense</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Variable lease expense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Variable lease expense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w:t>
            </w:r>
          </w:p>
        </w:tc>
      </w:tr>
      <w:tr>
        <w:trPr>
          <w:trHeight w:val="229"/>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 expense</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6,229</w:t>
            </w:r>
          </w:p>
        </w:tc>
      </w:tr>
      <w:tr>
        <w:trPr>
          <w:trHeight w:val="230"/>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56,404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110,177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61,886</w:t>
            </w:r>
          </w:p>
        </w:tc>
      </w:tr>
      <w:tr>
        <w:trPr>
          <w:trHeight w:val="234"/>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Product development expense</w:t>
            </w:r>
          </w:p>
        </w:tc>
        <w:tc>
          <w:tcPr>
            <w:tcW w:w="4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w:t>
            </w:r>
          </w:p>
        </w:tc>
      </w:tr>
      <w:tr>
        <w:trPr>
          <w:trHeight w:val="223"/>
        </w:trPr>
        <w:tc>
          <w:tcPr>
            <w:tcW w:w="34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59,262</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113,905</w:t>
            </w: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70,397</w:t>
            </w:r>
          </w:p>
        </w:tc>
      </w:tr>
      <w:tr>
        <w:trPr>
          <w:trHeight w:val="218"/>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 expense</w:t>
            </w: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r>
      <w:tr>
        <w:trPr>
          <w:trHeight w:val="230"/>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18,728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19,610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16,406</w:t>
            </w:r>
          </w:p>
        </w:tc>
      </w:tr>
      <w:tr>
        <w:trPr>
          <w:trHeight w:val="232"/>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Product development expense</w:t>
            </w:r>
          </w:p>
        </w:tc>
        <w:tc>
          <w:tcPr>
            <w:tcW w:w="48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-2127885</wp:posOffset>
            </wp:positionH>
            <wp:positionV relativeFrom="paragraph">
              <wp:posOffset>-1181100</wp:posOffset>
            </wp:positionV>
            <wp:extent cx="7132320" cy="1460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-2127885</wp:posOffset>
            </wp:positionH>
            <wp:positionV relativeFrom="paragraph">
              <wp:posOffset>-889635</wp:posOffset>
            </wp:positionV>
            <wp:extent cx="7132320" cy="1460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-2127885</wp:posOffset>
            </wp:positionH>
            <wp:positionV relativeFrom="paragraph">
              <wp:posOffset>-598170</wp:posOffset>
            </wp:positionV>
            <wp:extent cx="7132320" cy="1543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-2127885</wp:posOffset>
            </wp:positionH>
            <wp:positionV relativeFrom="paragraph">
              <wp:posOffset>-289560</wp:posOffset>
            </wp:positionV>
            <wp:extent cx="7132320" cy="1460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640" w:space="720"/>
            <w:col w:w="7880"/>
          </w:cols>
          <w:pgMar w:left="320" w:top="118" w:right="339" w:bottom="1440" w:gutter="0" w:footer="0" w:header="0"/>
          <w:type w:val="continuous"/>
        </w:sectPr>
      </w:pPr>
    </w:p>
    <w:tbl>
      <w:tblPr>
        <w:tblLayout w:type="fixed"/>
        <w:tblInd w:w="0" w:type="dxa"/>
        <w:tblCellMar>
          <w:top w:w="0" w:type="dxa"/>
          <w:left w:w="0" w:type="dxa"/>
          <w:bottom w:w="0" w:type="dxa"/>
          <w:right w:w="0" w:type="dxa"/>
        </w:tblCellMar>
      </w:tblPr>
      <w:tr>
        <w:trPr>
          <w:trHeight w:val="225"/>
        </w:trPr>
        <w:tc>
          <w:tcPr>
            <w:tcW w:w="678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variable lease expense</w:t>
            </w:r>
          </w:p>
        </w:tc>
        <w:tc>
          <w:tcPr>
            <w:tcW w:w="4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18,728</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19,846</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16,694</w:t>
            </w:r>
          </w:p>
        </w:tc>
      </w:tr>
      <w:tr>
        <w:trPr>
          <w:trHeight w:val="223"/>
        </w:trPr>
        <w:tc>
          <w:tcPr>
            <w:tcW w:w="6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lease expense</w:t>
            </w: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77,990</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133,751</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87,091</w:t>
            </w:r>
          </w:p>
        </w:tc>
      </w:tr>
      <w:tr>
        <w:trPr>
          <w:trHeight w:val="21"/>
        </w:trPr>
        <w:tc>
          <w:tcPr>
            <w:tcW w:w="67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21" w:name="page122"/>
    <w:bookmarkEnd w:id="1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IAC INC. AND SUBSIDIARIES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13" w:lineRule="exact"/>
        <w:rPr>
          <w:sz w:val="20"/>
          <w:szCs w:val="20"/>
          <w:color w:val="auto"/>
        </w:rPr>
      </w:pPr>
    </w:p>
    <w:p>
      <w:pPr>
        <w:ind w:right="40" w:firstLine="8"/>
        <w:spacing w:after="0" w:line="258" w:lineRule="auto"/>
        <w:tabs>
          <w:tab w:leader="none" w:pos="165" w:val="left"/>
        </w:tabs>
        <w:numPr>
          <w:ilvl w:val="0"/>
          <w:numId w:val="5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3"/>
          <w:szCs w:val="13"/>
          <w:color w:val="auto"/>
        </w:rPr>
        <w:t>Includes (i) lease impairment charges of $7.2 million, $48.9 million and $2.3 million, (ii) short-term lease expense of $1.0 million, $1.6 million and $4.0 million, (iii) sublease income of $16.0 million, $15.2 million and $17.1 million and (iv) gains (losses) on termination of leases of $2.2 million, $(0.2) million and $3.3 million for the years ended December 31, 2024, 2023 and 2022, respectively. Impairment charges related to ROU assets are included in “General and administrative expense” in the statement of operations. Impairment charges during the year ended December 31, 2023 include $44.7 million related to certain unoccupied leased office space at Dotdash Meredith due to the continued decline in the commercial real estate market. During the year ended December 31, 2022, the Company also recorded $14.3 million of impairment charges related to the consolidation of certain leased spaces following the Meredith acquisition, which is included in “General and administration expense” in the statement of operations as a restructuring charge. See “</w:t>
      </w:r>
      <w:r>
        <w:rPr>
          <w:rFonts w:ascii="Times New Roman" w:cs="Times New Roman" w:eastAsia="Times New Roman" w:hAnsi="Times New Roman"/>
          <w:sz w:val="13"/>
          <w:szCs w:val="13"/>
          <w:u w:val="single" w:color="auto"/>
          <w:color w:val="0000FF"/>
        </w:rPr>
        <w:t>Note 2—Summary of Significant Accounting Policies</w:t>
      </w:r>
      <w:r>
        <w:rPr>
          <w:rFonts w:ascii="Times New Roman" w:cs="Times New Roman" w:eastAsia="Times New Roman" w:hAnsi="Times New Roman"/>
          <w:sz w:val="13"/>
          <w:szCs w:val="13"/>
          <w:color w:val="auto"/>
        </w:rPr>
        <w:t>” and “</w:t>
      </w:r>
      <w:r>
        <w:rPr>
          <w:rFonts w:ascii="Times New Roman" w:cs="Times New Roman" w:eastAsia="Times New Roman" w:hAnsi="Times New Roman"/>
          <w:sz w:val="13"/>
          <w:szCs w:val="13"/>
          <w:u w:val="single" w:color="auto"/>
          <w:color w:val="0000FF"/>
        </w:rPr>
        <w:t>Note 17—Dotdash Meredith</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0000FF"/>
        </w:rPr>
        <w:t>Restructuring Charges, Transaction-Related Expenses and Change-in-Control Payments</w:t>
      </w:r>
      <w:r>
        <w:rPr>
          <w:rFonts w:ascii="Times New Roman" w:cs="Times New Roman" w:eastAsia="Times New Roman" w:hAnsi="Times New Roman"/>
          <w:sz w:val="13"/>
          <w:szCs w:val="13"/>
          <w:color w:val="000000"/>
        </w:rPr>
        <w:t>” for additional information on impairment and restructuring charges, respectively.</w:t>
      </w:r>
    </w:p>
    <w:p>
      <w:pPr>
        <w:spacing w:after="0" w:line="19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Maturities of lease liabilities at December 31, 2024</w:t>
      </w:r>
      <w:r>
        <w:rPr>
          <w:rFonts w:ascii="Times New Roman" w:cs="Times New Roman" w:eastAsia="Times New Roman" w:hAnsi="Times New Roman"/>
          <w:sz w:val="23"/>
          <w:szCs w:val="23"/>
          <w:color w:val="auto"/>
          <w:vertAlign w:val="superscript"/>
        </w:rPr>
        <w:t>(b)</w:t>
      </w:r>
      <w:r>
        <w:rPr>
          <w:rFonts w:ascii="Times New Roman" w:cs="Times New Roman" w:eastAsia="Times New Roman" w:hAnsi="Times New Roman"/>
          <w:sz w:val="18"/>
          <w:szCs w:val="18"/>
          <w:color w:val="auto"/>
        </w:rPr>
        <w:t xml:space="preserve"> are summarized below:</w:t>
      </w:r>
    </w:p>
    <w:p>
      <w:pPr>
        <w:spacing w:after="0" w:line="202" w:lineRule="exact"/>
        <w:rPr>
          <w:sz w:val="20"/>
          <w:szCs w:val="20"/>
          <w:color w:val="auto"/>
        </w:rPr>
      </w:pPr>
    </w:p>
    <w:p>
      <w:pPr>
        <w:ind w:left="20"/>
        <w:spacing w:after="0"/>
        <w:tabs>
          <w:tab w:leader="none" w:pos="10060" w:val="left"/>
        </w:tabs>
        <w:rPr>
          <w:sz w:val="20"/>
          <w:szCs w:val="20"/>
          <w:color w:val="auto"/>
        </w:rPr>
      </w:pPr>
      <w:r>
        <w:rPr>
          <w:rFonts w:ascii="Times New Roman" w:cs="Times New Roman" w:eastAsia="Times New Roman" w:hAnsi="Times New Roman"/>
          <w:sz w:val="14"/>
          <w:szCs w:val="14"/>
          <w:b w:val="1"/>
          <w:bCs w:val="1"/>
          <w:u w:val="single" w:color="auto"/>
          <w:color w:val="auto"/>
        </w:rPr>
        <w:t>Year Ending December 31,</w:t>
      </w:r>
      <w:r>
        <w:rPr>
          <w:sz w:val="20"/>
          <w:szCs w:val="20"/>
          <w:color w:val="auto"/>
        </w:rPr>
        <w:tab/>
      </w: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543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2025</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2027</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2029</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Less: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48" w:lineRule="exact"/>
        <w:rPr>
          <w:sz w:val="20"/>
          <w:szCs w:val="20"/>
          <w:color w:val="auto"/>
        </w:rPr>
      </w:pPr>
    </w:p>
    <w:p>
      <w:pPr>
        <w:ind w:left="180" w:hanging="172"/>
        <w:spacing w:after="0"/>
        <w:tabs>
          <w:tab w:leader="none" w:pos="180" w:val="left"/>
        </w:tabs>
        <w:numPr>
          <w:ilvl w:val="0"/>
          <w:numId w:val="6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Lease payments exclude $7.7 million of legally binding minimum lease payments for leases signed but not yet commenced.</w:t>
      </w:r>
    </w:p>
    <w:p>
      <w:pPr>
        <w:spacing w:after="0" w:line="2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are the weighted average assumptions used for lease term and discount rate:</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left="2000" w:hanging="853"/>
        <w:spacing w:after="0"/>
        <w:tabs>
          <w:tab w:leader="none" w:pos="200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80,861</w:t>
      </w:r>
    </w:p>
    <w:p>
      <w:pPr>
        <w:spacing w:after="0" w:line="38" w:lineRule="exact"/>
        <w:rPr>
          <w:rFonts w:ascii="Times New Roman" w:cs="Times New Roman" w:eastAsia="Times New Roman" w:hAnsi="Times New Roman"/>
          <w:sz w:val="17"/>
          <w:szCs w:val="17"/>
          <w:color w:val="auto"/>
        </w:rPr>
      </w:pPr>
    </w:p>
    <w:p>
      <w:pPr>
        <w:ind w:left="20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76,224</w:t>
      </w:r>
    </w:p>
    <w:p>
      <w:pPr>
        <w:spacing w:after="0" w:line="34" w:lineRule="exact"/>
        <w:rPr>
          <w:rFonts w:ascii="Times New Roman" w:cs="Times New Roman" w:eastAsia="Times New Roman" w:hAnsi="Times New Roman"/>
          <w:sz w:val="17"/>
          <w:szCs w:val="17"/>
          <w:color w:val="auto"/>
        </w:rPr>
      </w:pPr>
    </w:p>
    <w:p>
      <w:pPr>
        <w:ind w:left="20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65,141</w:t>
      </w:r>
    </w:p>
    <w:p>
      <w:pPr>
        <w:spacing w:after="0" w:line="34" w:lineRule="exact"/>
        <w:rPr>
          <w:rFonts w:ascii="Times New Roman" w:cs="Times New Roman" w:eastAsia="Times New Roman" w:hAnsi="Times New Roman"/>
          <w:sz w:val="17"/>
          <w:szCs w:val="17"/>
          <w:color w:val="auto"/>
        </w:rPr>
      </w:pPr>
    </w:p>
    <w:p>
      <w:pPr>
        <w:ind w:left="20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61,116</w:t>
      </w:r>
    </w:p>
    <w:p>
      <w:pPr>
        <w:spacing w:after="0" w:line="34" w:lineRule="exact"/>
        <w:rPr>
          <w:rFonts w:ascii="Times New Roman" w:cs="Times New Roman" w:eastAsia="Times New Roman" w:hAnsi="Times New Roman"/>
          <w:sz w:val="17"/>
          <w:szCs w:val="17"/>
          <w:color w:val="auto"/>
        </w:rPr>
      </w:pPr>
    </w:p>
    <w:p>
      <w:pPr>
        <w:ind w:left="20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56,844</w:t>
      </w:r>
    </w:p>
    <w:p>
      <w:pPr>
        <w:spacing w:after="0" w:line="34"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142,594</w:t>
      </w:r>
    </w:p>
    <w:p>
      <w:pPr>
        <w:spacing w:after="0" w:line="31"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482,780</w:t>
      </w:r>
    </w:p>
    <w:p>
      <w:pPr>
        <w:spacing w:after="0" w:line="2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7"/>
          <w:szCs w:val="17"/>
          <w:color w:val="auto"/>
        </w:rPr>
        <w:t>76,071</w:t>
      </w:r>
    </w:p>
    <w:p>
      <w:pPr>
        <w:spacing w:after="0" w:line="43" w:lineRule="exact"/>
        <w:rPr>
          <w:sz w:val="20"/>
          <w:szCs w:val="20"/>
          <w:color w:val="auto"/>
        </w:rPr>
      </w:pPr>
    </w:p>
    <w:p>
      <w:pPr>
        <w:ind w:left="1900" w:hanging="753"/>
        <w:spacing w:after="0"/>
        <w:tabs>
          <w:tab w:leader="none" w:pos="190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406,709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50165</wp:posOffset>
            </wp:positionV>
            <wp:extent cx="90868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-405765</wp:posOffset>
            </wp:positionH>
            <wp:positionV relativeFrom="paragraph">
              <wp:posOffset>33655</wp:posOffset>
            </wp:positionV>
            <wp:extent cx="203136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spacing w:after="0" w:line="35" w:lineRule="exact"/>
        <w:rPr>
          <w:sz w:val="20"/>
          <w:szCs w:val="20"/>
          <w:color w:val="auto"/>
        </w:rPr>
      </w:pPr>
    </w:p>
    <w:p>
      <w:pPr>
        <w:spacing w:after="0"/>
        <w:tabs>
          <w:tab w:leader="none" w:pos="162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33" w:lineRule="exact"/>
        <w:rPr>
          <w:sz w:val="20"/>
          <w:szCs w:val="20"/>
          <w:color w:val="auto"/>
        </w:rPr>
      </w:pPr>
    </w:p>
    <w:p>
      <w:pPr>
        <w:sectPr>
          <w:pgSz w:w="11900" w:h="16838" w:orient="portrait"/>
          <w:cols w:equalWidth="0" w:num="2">
            <w:col w:w="7960" w:space="720"/>
            <w:col w:w="2560"/>
          </w:cols>
          <w:pgMar w:left="320" w:top="118" w:right="33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20" w:type="dxa"/>
            <w:vAlign w:val="bottom"/>
            <w:tcBorders>
              <w:top w:val="single" w:sz="8" w:color="CCEEFF"/>
            </w:tcBorders>
            <w:shd w:val="clear" w:color="auto" w:fill="CCEEFF"/>
          </w:tcPr>
          <w:p>
            <w:pPr>
              <w:spacing w:after="0"/>
              <w:rPr>
                <w:sz w:val="21"/>
                <w:szCs w:val="21"/>
                <w:color w:val="auto"/>
              </w:rPr>
            </w:pPr>
          </w:p>
        </w:tc>
        <w:tc>
          <w:tcPr>
            <w:tcW w:w="6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Remaining lease term</w:t>
            </w:r>
          </w:p>
        </w:tc>
        <w:tc>
          <w:tcPr>
            <w:tcW w:w="860" w:type="dxa"/>
            <w:vAlign w:val="bottom"/>
            <w:tcBorders>
              <w:top w:val="single" w:sz="8" w:color="CCEEFF"/>
            </w:tcBorders>
            <w:shd w:val="clear" w:color="auto" w:fill="CCEEFF"/>
          </w:tcPr>
          <w:p>
            <w:pPr>
              <w:spacing w:after="0"/>
              <w:rPr>
                <w:sz w:val="21"/>
                <w:szCs w:val="21"/>
                <w:color w:val="auto"/>
              </w:rPr>
            </w:pPr>
          </w:p>
        </w:tc>
        <w:tc>
          <w:tcPr>
            <w:tcW w:w="44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6.8 years</w:t>
            </w:r>
          </w:p>
        </w:tc>
        <w:tc>
          <w:tcPr>
            <w:tcW w:w="340" w:type="dxa"/>
            <w:vAlign w:val="bottom"/>
            <w:tcBorders>
              <w:top w:val="single" w:sz="8" w:color="auto"/>
            </w:tcBorders>
            <w:shd w:val="clear" w:color="auto" w:fill="CCEEFF"/>
          </w:tcPr>
          <w:p>
            <w:pPr>
              <w:spacing w:after="0"/>
              <w:rPr>
                <w:sz w:val="21"/>
                <w:szCs w:val="21"/>
                <w:color w:val="auto"/>
              </w:rPr>
            </w:pPr>
          </w:p>
        </w:tc>
        <w:tc>
          <w:tcPr>
            <w:tcW w:w="11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 years</w:t>
            </w:r>
          </w:p>
        </w:tc>
      </w:tr>
      <w:tr>
        <w:trPr>
          <w:trHeight w:val="234"/>
        </w:trPr>
        <w:tc>
          <w:tcPr>
            <w:tcW w:w="20" w:type="dxa"/>
            <w:vAlign w:val="bottom"/>
          </w:tcPr>
          <w:p>
            <w:pPr>
              <w:spacing w:after="0"/>
              <w:rPr>
                <w:sz w:val="20"/>
                <w:szCs w:val="20"/>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5.16 %</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5.07 %</w:t>
            </w:r>
          </w:p>
        </w:tc>
        <w:tc>
          <w:tcPr>
            <w:tcW w:w="20" w:type="dxa"/>
            <w:vAlign w:val="bottom"/>
          </w:tcPr>
          <w:p>
            <w:pPr>
              <w:spacing w:after="0"/>
              <w:rPr>
                <w:sz w:val="20"/>
                <w:szCs w:val="20"/>
                <w:color w:val="auto"/>
              </w:rPr>
            </w:pPr>
          </w:p>
        </w:tc>
      </w:tr>
      <w:tr>
        <w:trPr>
          <w:trHeight w:val="508"/>
        </w:trPr>
        <w:tc>
          <w:tcPr>
            <w:tcW w:w="20" w:type="dxa"/>
            <w:vAlign w:val="bottom"/>
          </w:tcPr>
          <w:p>
            <w:pPr>
              <w:spacing w:after="0"/>
              <w:rPr>
                <w:sz w:val="24"/>
                <w:szCs w:val="24"/>
                <w:color w:val="auto"/>
              </w:rPr>
            </w:pPr>
          </w:p>
        </w:tc>
        <w:tc>
          <w:tcPr>
            <w:tcW w:w="67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The following is the supplemental cash flow information:</w:t>
            </w: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4"/>
        </w:trPr>
        <w:tc>
          <w:tcPr>
            <w:tcW w:w="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67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6"/>
        </w:trPr>
        <w:tc>
          <w:tcPr>
            <w:tcW w:w="20" w:type="dxa"/>
            <w:vAlign w:val="bottom"/>
          </w:tcPr>
          <w:p>
            <w:pPr>
              <w:spacing w:after="0"/>
              <w:rPr>
                <w:sz w:val="20"/>
                <w:szCs w:val="20"/>
                <w:color w:val="auto"/>
              </w:rPr>
            </w:pPr>
          </w:p>
        </w:tc>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ROU assets obtained in exchange for lease liabilities</w:t>
            </w:r>
          </w:p>
        </w:tc>
        <w:tc>
          <w:tcPr>
            <w:tcW w:w="860" w:type="dxa"/>
            <w:vAlign w:val="bottom"/>
            <w:shd w:val="clear" w:color="auto" w:fill="CCEEFF"/>
          </w:tcPr>
          <w:p>
            <w:pPr>
              <w:jc w:val="right"/>
              <w:ind w:right="655"/>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10,580</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7,545</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9,608</w:t>
            </w:r>
          </w:p>
        </w:tc>
        <w:tc>
          <w:tcPr>
            <w:tcW w:w="20" w:type="dxa"/>
            <w:vAlign w:val="bottom"/>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Derecognition of ROU assets due to termination or modification</w:t>
            </w:r>
          </w:p>
        </w:tc>
        <w:tc>
          <w:tcPr>
            <w:tcW w:w="860" w:type="dxa"/>
            <w:vAlign w:val="bottom"/>
          </w:tcPr>
          <w:p>
            <w:pPr>
              <w:jc w:val="right"/>
              <w:ind w:right="655"/>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(462)</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(34,809)</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(4,612)</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860" w:type="dxa"/>
            <w:vAlign w:val="bottom"/>
            <w:shd w:val="clear" w:color="auto" w:fill="CCEEFF"/>
          </w:tcPr>
          <w:p>
            <w:pPr>
              <w:jc w:val="right"/>
              <w:ind w:right="655"/>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92,304</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100,328</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93,864</w:t>
            </w:r>
          </w:p>
        </w:tc>
        <w:tc>
          <w:tcPr>
            <w:tcW w:w="20" w:type="dxa"/>
            <w:vAlign w:val="bottom"/>
          </w:tcPr>
          <w:p>
            <w:pPr>
              <w:spacing w:after="0"/>
              <w:rPr>
                <w:sz w:val="19"/>
                <w:szCs w:val="19"/>
                <w:color w:val="auto"/>
              </w:rPr>
            </w:pPr>
          </w:p>
        </w:tc>
      </w:tr>
    </w:tbl>
    <w:p>
      <w:pPr>
        <w:spacing w:after="0" w:line="200" w:lineRule="exact"/>
        <w:rPr>
          <w:sz w:val="20"/>
          <w:szCs w:val="20"/>
          <w:color w:val="auto"/>
        </w:rPr>
      </w:pPr>
    </w:p>
    <w:p>
      <w:pPr>
        <w:spacing w:after="0" w:line="335" w:lineRule="exact"/>
        <w:rPr>
          <w:sz w:val="20"/>
          <w:szCs w:val="20"/>
          <w:color w:val="auto"/>
        </w:rPr>
      </w:pPr>
    </w:p>
    <w:p>
      <w:pPr>
        <w:ind w:right="200" w:firstLine="405"/>
        <w:spacing w:after="0" w:line="282" w:lineRule="auto"/>
        <w:rPr>
          <w:sz w:val="20"/>
          <w:szCs w:val="20"/>
          <w:color w:val="auto"/>
        </w:rPr>
      </w:pPr>
      <w:r>
        <w:rPr>
          <w:rFonts w:ascii="Times New Roman" w:cs="Times New Roman" w:eastAsia="Times New Roman" w:hAnsi="Times New Roman"/>
          <w:sz w:val="18"/>
          <w:szCs w:val="18"/>
          <w:color w:val="auto"/>
        </w:rPr>
        <w:t>In addition, purchase accounting adjustments related to the 2021 acquisition of Meredith were completed during the year ended December 31, 2022 and ROU assets were adjusted downward by $4.3 million and lease liabilities were adjusted upward by $7.1 million.</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22" w:name="page123"/>
    <w:bookmarkEnd w:id="1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IAC INC. AND SUBSIDIARIES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6—LONG-TERM DEBT</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Long-term debt consists of:</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Pr>
          <w:p>
            <w:pPr>
              <w:spacing w:after="0"/>
              <w:rPr>
                <w:sz w:val="16"/>
                <w:szCs w:val="16"/>
                <w:color w:val="auto"/>
              </w:rPr>
            </w:pPr>
          </w:p>
        </w:tc>
      </w:tr>
      <w:tr>
        <w:trPr>
          <w:trHeight w:val="23"/>
        </w:trPr>
        <w:tc>
          <w:tcPr>
            <w:tcW w:w="83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6"/>
        </w:trPr>
        <w:tc>
          <w:tcPr>
            <w:tcW w:w="8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3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8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6"/>
                <w:szCs w:val="16"/>
                <w:color w:val="auto"/>
              </w:rPr>
            </w:pPr>
          </w:p>
        </w:tc>
      </w:tr>
      <w:tr>
        <w:trPr>
          <w:trHeight w:val="236"/>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Dotdash Meredith Debt</w:t>
            </w: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29"/>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Dotdash Meredith Term Loan A due December 1, 2026</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297,500</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315,000</w:t>
            </w:r>
          </w:p>
        </w:tc>
      </w:tr>
      <w:tr>
        <w:trPr>
          <w:trHeight w:val="230"/>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Dotdash Meredith Term Loan B-1 due December 1, 2028</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1,182,500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Dotdash Meredith Term Loan B due December 1, 2028</w:t>
            </w:r>
          </w:p>
        </w:tc>
        <w:tc>
          <w:tcPr>
            <w:tcW w:w="3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1,225,000</w:t>
            </w:r>
          </w:p>
        </w:tc>
      </w:tr>
      <w:tr>
        <w:trPr>
          <w:trHeight w:val="223"/>
        </w:trPr>
        <w:tc>
          <w:tcPr>
            <w:tcW w:w="8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Dotdash Meredith long-term debt</w:t>
            </w:r>
          </w:p>
        </w:tc>
        <w:tc>
          <w:tcPr>
            <w:tcW w:w="3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1,480,000</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1,540,000</w:t>
            </w:r>
          </w:p>
        </w:tc>
      </w:tr>
      <w:tr>
        <w:trPr>
          <w:trHeight w:val="229"/>
        </w:trPr>
        <w:tc>
          <w:tcPr>
            <w:tcW w:w="8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Less: current portion of Dotdash Meredith long-term debt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r>
      <w:tr>
        <w:trPr>
          <w:trHeight w:val="230"/>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original issue discount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4,470</w:t>
            </w:r>
          </w:p>
        </w:tc>
      </w:tr>
      <w:tr>
        <w:trPr>
          <w:trHeight w:val="229"/>
        </w:trPr>
        <w:tc>
          <w:tcPr>
            <w:tcW w:w="8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8,423</w:t>
            </w:r>
          </w:p>
        </w:tc>
      </w:tr>
      <w:tr>
        <w:trPr>
          <w:trHeight w:val="223"/>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Dotdash Meredith long-term debt, net</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1,435,007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1,497,107</w:t>
            </w:r>
          </w:p>
        </w:tc>
      </w:tr>
      <w:tr>
        <w:trPr>
          <w:trHeight w:val="196"/>
        </w:trPr>
        <w:tc>
          <w:tcPr>
            <w:tcW w:w="8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29"/>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ANGI Group Debt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176"/>
        </w:trPr>
        <w:tc>
          <w:tcPr>
            <w:tcW w:w="83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3.875% ANGI Group Senior Notes due August 15, 2028 (“ANGI Group Senior Notes”); interest payable each</w:t>
            </w: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43"/>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15 and August 15</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r>
      <w:tr>
        <w:trPr>
          <w:trHeight w:val="230"/>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3,953</w:t>
            </w:r>
          </w:p>
        </w:tc>
      </w:tr>
      <w:tr>
        <w:trPr>
          <w:trHeight w:val="223"/>
        </w:trPr>
        <w:tc>
          <w:tcPr>
            <w:tcW w:w="8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ANGI Group long-term debt, net</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496,840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496,047</w:t>
            </w:r>
          </w:p>
        </w:tc>
      </w:tr>
      <w:tr>
        <w:trPr>
          <w:trHeight w:val="237"/>
        </w:trPr>
        <w:tc>
          <w:tcPr>
            <w:tcW w:w="83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30"/>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long-term debt, net</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1,931,847</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1,993,154</w:t>
            </w:r>
          </w:p>
        </w:tc>
      </w:tr>
      <w:tr>
        <w:trPr>
          <w:trHeight w:val="20"/>
        </w:trPr>
        <w:tc>
          <w:tcPr>
            <w:tcW w:w="8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Dotdash Meredith Term Loans and Dotdash Meredith Revolving Facility</w:t>
      </w:r>
    </w:p>
    <w:p>
      <w:pPr>
        <w:spacing w:after="0" w:line="229" w:lineRule="exact"/>
        <w:rPr>
          <w:sz w:val="20"/>
          <w:szCs w:val="20"/>
          <w:color w:val="auto"/>
        </w:rPr>
      </w:pPr>
    </w:p>
    <w:p>
      <w:pPr>
        <w:ind w:right="80" w:firstLine="405"/>
        <w:spacing w:after="0" w:line="255" w:lineRule="auto"/>
        <w:rPr>
          <w:sz w:val="20"/>
          <w:szCs w:val="20"/>
          <w:color w:val="auto"/>
        </w:rPr>
      </w:pPr>
      <w:r>
        <w:rPr>
          <w:rFonts w:ascii="Times New Roman" w:cs="Times New Roman" w:eastAsia="Times New Roman" w:hAnsi="Times New Roman"/>
          <w:sz w:val="18"/>
          <w:szCs w:val="18"/>
          <w:color w:val="auto"/>
        </w:rPr>
        <w:t>On December 1, 2021, Dotdash Meredith entered into a credit agreement (“Dotdash Meredith Credit Agreement”), which provided for (i) the five-year $350 million Dotdash Meredith Term Loan A, (ii) the seven-year $1.25 billion Dotdash Meredith Term Loan B and (iii) a five-year $150 million revolving credit facility (“Dotdash Meredith Revolving Facility”). On November 26, 2024, Dotdash Meredith entered into the Amended Dotdash Meredith Credit Agreement, which governs both the existing Dotdash Meredith Term Loan A and the Dotdash Meredith Revolving Facility, and replaced</w:t>
      </w:r>
    </w:p>
    <w:p>
      <w:pPr>
        <w:spacing w:after="0" w:line="3" w:lineRule="exact"/>
        <w:rPr>
          <w:sz w:val="20"/>
          <w:szCs w:val="20"/>
          <w:color w:val="auto"/>
        </w:rPr>
      </w:pPr>
    </w:p>
    <w:p>
      <w:pPr>
        <w:ind w:right="480"/>
        <w:spacing w:after="0" w:line="260" w:lineRule="auto"/>
        <w:rPr>
          <w:sz w:val="20"/>
          <w:szCs w:val="20"/>
          <w:color w:val="auto"/>
        </w:rPr>
      </w:pPr>
      <w:r>
        <w:rPr>
          <w:rFonts w:ascii="Times New Roman" w:cs="Times New Roman" w:eastAsia="Times New Roman" w:hAnsi="Times New Roman"/>
          <w:sz w:val="18"/>
          <w:szCs w:val="18"/>
          <w:color w:val="auto"/>
        </w:rPr>
        <w:t>$1.18 billion of then outstanding Dotdash Meredith Term Loan B principal with an equal amount of Dotdash Meredith Term Loan B-1 (together with Dotdash Meredith Term Loan A, these loans are collectively referred to as “Dotdash Meredith Term Loans”).</w:t>
      </w:r>
    </w:p>
    <w:p>
      <w:pPr>
        <w:spacing w:after="0" w:line="208"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Dotdash Meredith Term Loan A bears interest at an Adjusted Term SOFR, as defined in the Amended Dotdash Meredith Credit Agreement, plus an applicable margin depending on Dotdash Meredith's most recently reported consolidated net leverage ratio, as defined in the Amended Dotdash Meredith Credit Agreement. The adjustment to the secured overnight financing rate is fixed at 0.10% for Dotdash Meredith Term Loan A. At December 31, 2024 and 2023, Dotdash Meredith Term Loan A bore interest at Adjusted Term SOFR plus 2.25%, or 6.94% and 7.69%, respectively. Prior to the effectiveness of the Amended Dotdash Meredith Credit Agreement, Dotdash Meredith Term Loan B bore an interest rate of Adjusted Term SOFR plus 4.00%, plus a varying adjustment of 0.10%, 0.15% or 0.25% based upon the duration of the borrowing period. The Amended Dotdash Meredith Credit Agreement reset the interest rate on Dotdash Meredith Term Loan B-1 to Adjusted Term SOFR plus 3.50% and removed the varying adjustment. At December 31, 2024, Dotdash Meredith Term Loan B-1 bore interest at Adjusted Term SOFR, subject to a minimum of 0.50%, plus 3.50%, or 8.05%. At December 31, 2023, Dotdash Meredith Term Loan B bore interest at Adjusted Term SOFR, subject to a minimum of 0.50%, plus 4.00%, or 9.44%. Interest payments are due at least quarterly through the respective maturity dates of the Dotdash Meredith Term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IAC INC. AND SUBSIDIARIES</w:t>
      </w:r>
    </w:p>
    <w:p>
      <w:pPr>
        <w:spacing w:after="0" w:line="1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Immediately prior to the effectiveness of the Amended Dotdash Meredith Credit Agreement, the Company prepaid $30 million in aggregate principal of Dotdash Meredith Term Loan B. This prepayment and the reset of the interest rate of Dotdash Meredith Term Loan B-1 were evaluated on a creditor-by-creditor basis to determine whether the transaction should be accounted for as a modification or extinguishment of debt. As a result of this evaluation, a portion of the transaction was determined to be an extinguishment of debt and, therefore, the Company recorded a debt extinguishment loss of $0.3 million in the fourth quarter of 2024 to write off a pro-rata amount of unamortized issuance costs and original issue discount, and less than $0.1 million was capitalized as debt issuance costs. The extinguishment loss is recorded in “Interest expense” in the statement of operations. Third-party fees in connection with the Amended Dotdash Meredith Credit Agreement of $3.5 million are recorded in “Other income (expense), net” in the statement of operations.</w:t>
      </w:r>
    </w:p>
    <w:p>
      <w:pPr>
        <w:spacing w:after="0" w:line="202" w:lineRule="exact"/>
        <w:rPr>
          <w:sz w:val="20"/>
          <w:szCs w:val="20"/>
          <w:color w:val="auto"/>
        </w:rPr>
      </w:pPr>
    </w:p>
    <w:p>
      <w:pPr>
        <w:ind w:right="60" w:firstLine="405"/>
        <w:spacing w:after="0" w:line="237" w:lineRule="auto"/>
        <w:rPr>
          <w:sz w:val="20"/>
          <w:szCs w:val="20"/>
          <w:color w:val="auto"/>
        </w:rPr>
      </w:pPr>
      <w:r>
        <w:rPr>
          <w:rFonts w:ascii="Times New Roman" w:cs="Times New Roman" w:eastAsia="Times New Roman" w:hAnsi="Times New Roman"/>
          <w:sz w:val="18"/>
          <w:szCs w:val="18"/>
          <w:color w:val="auto"/>
        </w:rPr>
        <w:t>The interest rate swaps entered into in March 2023, with a maturity date of April 1, 2027, synthetically converted $350 million of Dotdash Meredith Term Loan B and, following the effectiveness of the Amended Dotdash Meredith Credit Agreement, Dotdash Meredith Term Loan B-1, from a variable rate to a fixed rate. Following the effectiveness of the Amended Dotdash Meredith Credit Agreement, should Adjusted Term SOFR continue to equal or exceed 0.50%, then the fixed rate for Dotdash Meredith Term Loan B-1 will be approximately 7.32% ((i) the weighted average fixed interest rate of approximately 3.82% on the interest rate swaps and (ii) the base rate of 3.50%). In the event Adjusted Term SOFR becomes less than 0.50%, then the interest rate swaps would be fixed in a range from approximately 7.32% to 7.42% as determined by the governing agreements. Prior to the effectiveness of the Amended Dotdash Meredith Credit Agreement, the fixed rate for Dotdash Meredith Term Loan B was approximately 7.92% ((i) the weighted average fixed interest rate of approximately 3.82% on the interest rate swaps, (ii) the base rate of 4.00% and (iii) the adjustment to the secured overnight financing rate of 0.10%).</w:t>
      </w:r>
    </w:p>
    <w:p>
      <w:pPr>
        <w:spacing w:after="0" w:line="185" w:lineRule="exact"/>
        <w:rPr>
          <w:sz w:val="20"/>
          <w:szCs w:val="20"/>
          <w:color w:val="auto"/>
        </w:rPr>
      </w:pPr>
    </w:p>
    <w:p>
      <w:pPr>
        <w:ind w:right="60" w:firstLine="405"/>
        <w:spacing w:after="0" w:line="245" w:lineRule="auto"/>
        <w:rPr>
          <w:sz w:val="20"/>
          <w:szCs w:val="20"/>
          <w:color w:val="auto"/>
        </w:rPr>
      </w:pPr>
      <w:r>
        <w:rPr>
          <w:rFonts w:ascii="Times New Roman" w:cs="Times New Roman" w:eastAsia="Times New Roman" w:hAnsi="Times New Roman"/>
          <w:sz w:val="18"/>
          <w:szCs w:val="18"/>
          <w:color w:val="auto"/>
        </w:rPr>
        <w:t>The interest rate swaps are expected to be highly effective. See “</w:t>
      </w:r>
      <w:r>
        <w:rPr>
          <w:rFonts w:ascii="Times New Roman" w:cs="Times New Roman" w:eastAsia="Times New Roman" w:hAnsi="Times New Roman"/>
          <w:sz w:val="18"/>
          <w:szCs w:val="18"/>
          <w:u w:val="single" w:color="auto"/>
          <w:color w:val="0000FF"/>
        </w:rPr>
        <w:t>Note 8—Accumulated Other Comprehensive (Loss) Income</w:t>
      </w:r>
      <w:r>
        <w:rPr>
          <w:rFonts w:ascii="Times New Roman" w:cs="Times New Roman" w:eastAsia="Times New Roman" w:hAnsi="Times New Roman"/>
          <w:sz w:val="18"/>
          <w:szCs w:val="18"/>
          <w:color w:val="auto"/>
        </w:rPr>
        <w:t>” for the net unrealized gains and losses before reclassifications in “Accumulated other comprehensive loss” and realized gains reclassified into “Interest expense” for the years ended December 31, 2024 and 2023. At December 31, 2024, approximately $1.1 million is expected to be reclassified into interest expense within the next twelve months as net realized gains.</w:t>
      </w:r>
    </w:p>
    <w:p>
      <w:pPr>
        <w:spacing w:after="0" w:line="221"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Dotdash Meredith Term Loan A requires quarterly principal payments of approximately $8.8 million through December 31, 2025 and approximately $13.1 million thereafter through maturity. Prior to the effectiveness of the Amended Dotdash Meredith Credit Agreement, Dotdash Meredith Term Loan B required quarterly payments of $3.1 million. Following the effectiveness of the Amended Dotdash Meredith Credit Agreement, Dotdash Meredith Term Loan B-1 now requires quarterly payments of $3.0 million commencing March 31, 2026 through maturity. Dotdash Meredith Term Loan B and Dotdash Meredith Term Loan B-1 may require additional annual principal payments as part of an excess cash flow sweep provision, the amount of which, in part, is governed by the applicable net leverage ratio and further subject to the excess cash flow exceeding certain thresholds as defined in the Dotdash Meredith Credit Agreement and Amended Dotdash Meredith Credit Agreement, respectively. No such payment is currently expected related to the period ended December 31, 2024 and no such payment was required related to the period ended December 31, 2023.</w:t>
      </w:r>
    </w:p>
    <w:p>
      <w:pPr>
        <w:spacing w:after="0" w:line="192"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There were no outstanding borrowings under the Dotdash Meredith Revolving Facility at both December 31, 2024 and 2023. The annual commitment fee on undrawn funds is based on the most recently reported Dotdash Meredith's consolidated net leverage ratio, as defined in the governing agreements, was 40 basis points at both December 31, 2024 and 2023. Any borrowings under the Dotdash Meredith Revolving Facility would bear interest, at Dotdash Meredith's option, at either a base rate or Adjusted Term SOFR, plus an applicable margin, which is based on Dotdash Meredith's consolidated net leverage ratio.</w:t>
      </w:r>
    </w:p>
    <w:p>
      <w:pPr>
        <w:spacing w:after="0" w:line="183"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As of the last day of any calendar quarter, subject to certain exemptions and increases for qualifying material acquisitions, Dotdash Meredith will not permit the consolidated net leverage ratio as of the last day of such quarter to exceed 5.5 to 1.0, all as defined in the governing agreements. This ratio was not exceeded for both test periods ended December 31, 2024 and 2023. The Amended Dotdash Meredith Credit Agreement also contains covenants, which are consistent with the Dotdash Meredith Credit Agreement, that would limit Dotdash Meredith’s ability to pay dividends, incur incremental secured indebtedness, or make distributions or certain investments in the event a default has occurred or if Dotdash Meredith’s consolidated net leverage ratio exceeds 4.0 to 1.0, subject to certain available amounts as defined in the governing agreements. Dotdash Meredith did not exceed this ratio for the test period ended December 31, 2024, but this ratio was exceeded for the test period ended December 31, 2023.</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IAC INC. AND SUBSIDIARIES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100" w:firstLine="405"/>
        <w:spacing w:after="0" w:line="253" w:lineRule="auto"/>
        <w:rPr>
          <w:sz w:val="20"/>
          <w:szCs w:val="20"/>
          <w:color w:val="auto"/>
        </w:rPr>
      </w:pPr>
      <w:r>
        <w:rPr>
          <w:rFonts w:ascii="Times New Roman" w:cs="Times New Roman" w:eastAsia="Times New Roman" w:hAnsi="Times New Roman"/>
          <w:sz w:val="18"/>
          <w:szCs w:val="18"/>
          <w:color w:val="auto"/>
        </w:rPr>
        <w:t>The Dotdash Meredith Credit Agreement and the Amended Dotdash Meredith Credit Agreement permit the Company to, among other things, contribute cash to Dotdash Meredith which will provide additional liquidity to ensure that Dotdash Meredith does not exceed certain consolidated net leverage ratios for any test period, as further defined in the governing agreements. In connection with these capital contributions, Dotdash Meredith may make distributions to the Company in amounts not more than any such capital contributions, provided that no default has occurred and is continuing. Such capital contributions and subsequent distributions impact the consolidated net leverage ratios of Dotdash Meredith, however, absent these contributions, Dotdash Meredith's consolidated net leverage ratio would not have exceeded 5.5 to 1.0 for the years ended December 31, 2024 or 2023. During the year ended December 31, 2024, the Company contributed $125 million to Dotdash Meredith, following which Dotdash Meredith distributed $230 million back to the Company, including $105 million in January 2024 related to the Company's contribution in December 2023. The contributions ceased in September 2024, which Dotdash Meredith distributed back to the Company in October 2024 and, therefore, there are no contributions or distributions outstanding as of December 31, 2024. During the year ended December 31, 2023, the Company contributed $510 million to Dotdash Meredith, following which Dotdash Meredith distributed $405 million back to the Company.</w:t>
      </w:r>
    </w:p>
    <w:p>
      <w:pPr>
        <w:spacing w:after="0" w:line="192" w:lineRule="exact"/>
        <w:rPr>
          <w:sz w:val="20"/>
          <w:szCs w:val="20"/>
          <w:color w:val="auto"/>
        </w:rPr>
      </w:pPr>
    </w:p>
    <w:p>
      <w:pPr>
        <w:ind w:right="40" w:firstLine="405"/>
        <w:spacing w:after="0" w:line="282" w:lineRule="auto"/>
        <w:rPr>
          <w:sz w:val="20"/>
          <w:szCs w:val="20"/>
          <w:color w:val="auto"/>
        </w:rPr>
      </w:pPr>
      <w:r>
        <w:rPr>
          <w:rFonts w:ascii="Times New Roman" w:cs="Times New Roman" w:eastAsia="Times New Roman" w:hAnsi="Times New Roman"/>
          <w:sz w:val="18"/>
          <w:szCs w:val="18"/>
          <w:color w:val="auto"/>
        </w:rPr>
        <w:t>The obligations under the Amended Dotdash Meredith Credit Agreement are guaranteed by certain of Dotdash Meredith's wholly-owned subsidiaries and are secured by substantially all of the assets of Dotdash Meredith and certain of its subsidiaries.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ANGI Group Debt</w:t>
      </w:r>
    </w:p>
    <w:p>
      <w:pPr>
        <w:spacing w:after="0" w:line="229" w:lineRule="exact"/>
        <w:rPr>
          <w:sz w:val="20"/>
          <w:szCs w:val="20"/>
          <w:color w:val="auto"/>
        </w:rPr>
      </w:pPr>
    </w:p>
    <w:p>
      <w:pPr>
        <w:ind w:right="320" w:firstLine="405"/>
        <w:spacing w:after="0" w:line="266" w:lineRule="auto"/>
        <w:rPr>
          <w:sz w:val="20"/>
          <w:szCs w:val="20"/>
          <w:color w:val="auto"/>
        </w:rPr>
      </w:pPr>
      <w:r>
        <w:rPr>
          <w:rFonts w:ascii="Times New Roman" w:cs="Times New Roman" w:eastAsia="Times New Roman" w:hAnsi="Times New Roman"/>
          <w:sz w:val="18"/>
          <w:szCs w:val="18"/>
          <w:color w:val="auto"/>
        </w:rPr>
        <w:t>ANGI Group, LLC (“ANGI Group”) a direct wholly-owned subsidiary of Angi, issued the ANGI Group Senior Notes on August 20, 2020. These notes may be redeemed at the redemption prices set forth below, plus accrued and unpaid interest thereon, if any, to the applicable redemption date, if redeemed during the twelve-month period beginning on August 15 of the years indicated below:</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58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34"/>
        </w:trPr>
        <w:tc>
          <w:tcPr>
            <w:tcW w:w="20" w:type="dxa"/>
            <w:vAlign w:val="bottom"/>
            <w:tcBorders>
              <w:bottom w:val="single" w:sz="8" w:color="CCEEFF"/>
            </w:tcBorders>
          </w:tcPr>
          <w:p>
            <w:pPr>
              <w:spacing w:after="0"/>
              <w:rPr>
                <w:sz w:val="2"/>
                <w:szCs w:val="2"/>
                <w:color w:val="auto"/>
              </w:rPr>
            </w:pPr>
          </w:p>
        </w:tc>
        <w:tc>
          <w:tcPr>
            <w:tcW w:w="300" w:type="dxa"/>
            <w:vAlign w:val="bottom"/>
            <w:tcBorders>
              <w:top w:val="single" w:sz="8" w:color="auto"/>
              <w:bottom w:val="single" w:sz="8" w:color="CCEEFF"/>
            </w:tcBorders>
          </w:tcPr>
          <w:p>
            <w:pPr>
              <w:spacing w:after="0"/>
              <w:rPr>
                <w:sz w:val="2"/>
                <w:szCs w:val="2"/>
                <w:color w:val="auto"/>
              </w:rPr>
            </w:pPr>
          </w:p>
        </w:tc>
        <w:tc>
          <w:tcPr>
            <w:tcW w:w="924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23"/>
        </w:trPr>
        <w:tc>
          <w:tcPr>
            <w:tcW w:w="95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100.969 %</w:t>
            </w:r>
          </w:p>
        </w:tc>
      </w:tr>
      <w:tr>
        <w:trPr>
          <w:trHeight w:val="234"/>
        </w:trPr>
        <w:tc>
          <w:tcPr>
            <w:tcW w:w="20" w:type="dxa"/>
            <w:vAlign w:val="bottom"/>
          </w:tcPr>
          <w:p>
            <w:pPr>
              <w:spacing w:after="0"/>
              <w:rPr>
                <w:sz w:val="20"/>
                <w:szCs w:val="20"/>
                <w:color w:val="auto"/>
              </w:rPr>
            </w:pPr>
          </w:p>
        </w:tc>
        <w:tc>
          <w:tcPr>
            <w:tcW w:w="9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2025 and thereafter</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100.000 %</w:t>
            </w:r>
          </w:p>
        </w:tc>
      </w:tr>
    </w:tbl>
    <w:p>
      <w:pPr>
        <w:spacing w:after="0" w:line="274"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The indenture governing the ANGI Group Senior Notes contains a covenant that would limit ANGI Group’s ability to incur liens for borrowed money in the event a default has occurred or ANGI Group’s secured leverage ratio exceeds 3.75 to 1.0 provided that ANGI Group is permitted to incur such liens under certain permitted credit facilities indebtedness notwithstanding the ratio, all as defined in the indenture. At December 31, 2024 and 2023, there were no limitations pursuant thereto.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Debt Maturities: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Long-term debt maturities at December 31, 2024 are summarized in the table below:</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200" w:type="dxa"/>
            <w:vAlign w:val="bottom"/>
          </w:tcPr>
          <w:p>
            <w:pPr>
              <w:spacing w:after="0"/>
              <w:rPr>
                <w:sz w:val="13"/>
                <w:szCs w:val="13"/>
                <w:color w:val="auto"/>
              </w:rPr>
            </w:pPr>
          </w:p>
        </w:tc>
        <w:tc>
          <w:tcPr>
            <w:tcW w:w="124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4"/>
        </w:trPr>
        <w:tc>
          <w:tcPr>
            <w:tcW w:w="20" w:type="dxa"/>
            <w:vAlign w:val="bottom"/>
            <w:tcBorders>
              <w:bottom w:val="single" w:sz="8" w:color="CCEEFF"/>
            </w:tcBorders>
          </w:tcPr>
          <w:p>
            <w:pPr>
              <w:spacing w:after="0"/>
              <w:rPr>
                <w:sz w:val="2"/>
                <w:szCs w:val="2"/>
                <w:color w:val="auto"/>
              </w:rPr>
            </w:pPr>
          </w:p>
        </w:tc>
        <w:tc>
          <w:tcPr>
            <w:tcW w:w="1660" w:type="dxa"/>
            <w:vAlign w:val="bottom"/>
            <w:tcBorders>
              <w:top w:val="single" w:sz="8" w:color="auto"/>
              <w:bottom w:val="single" w:sz="8" w:color="CCEEFF"/>
            </w:tcBorders>
          </w:tcPr>
          <w:p>
            <w:pPr>
              <w:spacing w:after="0"/>
              <w:rPr>
                <w:sz w:val="2"/>
                <w:szCs w:val="2"/>
                <w:color w:val="auto"/>
              </w:rPr>
            </w:pPr>
          </w:p>
        </w:tc>
        <w:tc>
          <w:tcPr>
            <w:tcW w:w="8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1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8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w:t>
            </w:r>
          </w:p>
        </w:tc>
      </w:tr>
      <w:tr>
        <w:trPr>
          <w:trHeight w:val="230"/>
        </w:trPr>
        <w:tc>
          <w:tcPr>
            <w:tcW w:w="1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274,325</w:t>
            </w:r>
          </w:p>
        </w:tc>
      </w:tr>
      <w:tr>
        <w:trPr>
          <w:trHeight w:val="230"/>
        </w:trPr>
        <w:tc>
          <w:tcPr>
            <w:tcW w:w="1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11,825</w:t>
            </w:r>
          </w:p>
        </w:tc>
      </w:tr>
      <w:tr>
        <w:trPr>
          <w:trHeight w:val="230"/>
        </w:trPr>
        <w:tc>
          <w:tcPr>
            <w:tcW w:w="1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8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1,658,850</w:t>
            </w:r>
          </w:p>
        </w:tc>
      </w:tr>
      <w:tr>
        <w:trPr>
          <w:trHeight w:val="223"/>
        </w:trPr>
        <w:tc>
          <w:tcPr>
            <w:tcW w:w="20" w:type="dxa"/>
            <w:vAlign w:val="bottom"/>
            <w:shd w:val="clear" w:color="auto" w:fill="CCEEFF"/>
          </w:tcPr>
          <w:p>
            <w:pPr>
              <w:spacing w:after="0"/>
              <w:rPr>
                <w:sz w:val="19"/>
                <w:szCs w:val="19"/>
                <w:color w:val="auto"/>
              </w:rPr>
            </w:pPr>
          </w:p>
        </w:tc>
        <w:tc>
          <w:tcPr>
            <w:tcW w:w="9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1,980,000</w:t>
            </w:r>
          </w:p>
        </w:tc>
      </w:tr>
      <w:tr>
        <w:trPr>
          <w:trHeight w:val="229"/>
        </w:trPr>
        <w:tc>
          <w:tcPr>
            <w:tcW w:w="20" w:type="dxa"/>
            <w:vAlign w:val="bottom"/>
          </w:tcPr>
          <w:p>
            <w:pPr>
              <w:spacing w:after="0"/>
              <w:rPr>
                <w:sz w:val="19"/>
                <w:szCs w:val="19"/>
                <w:color w:val="auto"/>
              </w:rPr>
            </w:pPr>
          </w:p>
        </w:tc>
        <w:tc>
          <w:tcPr>
            <w:tcW w:w="97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w:t>
            </w:r>
          </w:p>
        </w:tc>
      </w:tr>
      <w:tr>
        <w:trPr>
          <w:trHeight w:val="230"/>
        </w:trPr>
        <w:tc>
          <w:tcPr>
            <w:tcW w:w="20" w:type="dxa"/>
            <w:vAlign w:val="bottom"/>
            <w:shd w:val="clear" w:color="auto" w:fill="CCEEFF"/>
          </w:tcPr>
          <w:p>
            <w:pPr>
              <w:spacing w:after="0"/>
              <w:rPr>
                <w:sz w:val="19"/>
                <w:szCs w:val="19"/>
                <w:color w:val="auto"/>
              </w:rPr>
            </w:pPr>
          </w:p>
        </w:tc>
        <w:tc>
          <w:tcPr>
            <w:tcW w:w="97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Less: unamortized original issue discount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3,512</w:t>
            </w:r>
          </w:p>
        </w:tc>
      </w:tr>
      <w:tr>
        <w:trPr>
          <w:trHeight w:val="230"/>
        </w:trPr>
        <w:tc>
          <w:tcPr>
            <w:tcW w:w="20" w:type="dxa"/>
            <w:vAlign w:val="bottom"/>
            <w:tcBorders>
              <w:bottom w:val="single" w:sz="8" w:color="CCEEFF"/>
            </w:tcBorders>
          </w:tcPr>
          <w:p>
            <w:pPr>
              <w:spacing w:after="0"/>
              <w:rPr>
                <w:sz w:val="19"/>
                <w:szCs w:val="19"/>
                <w:color w:val="auto"/>
              </w:rPr>
            </w:pPr>
          </w:p>
        </w:tc>
        <w:tc>
          <w:tcPr>
            <w:tcW w:w="976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9,641</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97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debt, net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1,931,847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8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IAC INC. AND SUBSIDIARIES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7—SHAREHOLDERS'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Common Stock and Class B Convertible Common Stock</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Except as described herein, shares of IAC common stock and IAC Class B common stock are identical.</w:t>
      </w:r>
    </w:p>
    <w:p>
      <w:pPr>
        <w:spacing w:after="0" w:line="225"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The holders of shares of IAC common stock and IAC Class B common stock vote together as a single class with respect to matters that may be submitted to a vote or for the consent of IAC's shareholders generally, including the election of directors. In connection with any such vote, each holder of IAC common stock is entitled to one vote for each share of IAC common stock held and each holder of IAC Class B common stock is entitled to ten votes for each share of IAC Class B common stock held. Notwithstanding the foregoing, the holders of shares of IAC common stock, acting as a single class, are entitled to elect 25% of the total number of IAC's directors, and, in the event that 25% of the total number of directors shall result in a fraction of a director, then the holders of shares of IAC common stock, acting as a single class, are entitled to elect the next higher whole number of IAC's directors. In addition, Delaware law requires that certain matters be approved by the holders of shares of IAC common stock or holders of IAC Class B common stock voting as a separate class.</w:t>
      </w:r>
    </w:p>
    <w:p>
      <w:pPr>
        <w:spacing w:after="0" w:line="192"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Shares of IAC Class B common stock are convertible into shares of IAC common stock at the option of the holder thereof, at any time, on a share-for-share basis. Such conversion ratio will in all events be equitably preserved in the event of any recapitalization of IAC by means of a stock dividend on, or a stock split or combination of, outstanding shares of IAC common stock or IAC Class B common stock, or in the event of any merger, consolidation or other reorganization of IAC with another corporation. Upon the conversion of shares of IAC Class B common stock into shares of IAC common stock, those shares of IAC Class B common stock will be retired and will not be subject to reissue. Shares of IAC common stock are not convertible into shares of IAC Class B common stock.</w:t>
      </w:r>
    </w:p>
    <w:p>
      <w:pPr>
        <w:spacing w:after="0" w:line="187" w:lineRule="exact"/>
        <w:rPr>
          <w:sz w:val="20"/>
          <w:szCs w:val="20"/>
          <w:color w:val="auto"/>
        </w:rPr>
      </w:pPr>
    </w:p>
    <w:p>
      <w:pPr>
        <w:ind w:right="220" w:firstLine="405"/>
        <w:spacing w:after="0" w:line="258" w:lineRule="auto"/>
        <w:rPr>
          <w:sz w:val="20"/>
          <w:szCs w:val="20"/>
          <w:color w:val="auto"/>
        </w:rPr>
      </w:pPr>
      <w:r>
        <w:rPr>
          <w:rFonts w:ascii="Times New Roman" w:cs="Times New Roman" w:eastAsia="Times New Roman" w:hAnsi="Times New Roman"/>
          <w:sz w:val="18"/>
          <w:szCs w:val="18"/>
          <w:color w:val="auto"/>
        </w:rPr>
        <w:t>The holders of shares of IAC common stock and the holders of shares of IAC Class B common stock are entitled to receive, share for share, such dividends as may be declared by IAC's Board of Directors out of funds legally available therefor. In the event of a liquidation, dissolution, distribution of assets or winding-up of IAC, the holders of shares of IAC common stock and the holders of shares of IAC Class B common stock are entitled to receive, share for share, all the assets of IAC available for distribution to its stockholders, after the rights of the holders of any IAC preferred stock have been satisfied.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Repurchases</w:t>
      </w:r>
    </w:p>
    <w:p>
      <w:pPr>
        <w:spacing w:after="0" w:line="229"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On June 30, 2020, the Board of Directors of the Company authorized repurchases up to 8.0 million shares of common stock. The Company did not repurchase any of its common stock during the year ended December 31, 2024. During the years ended December 31, 2023 and 2022, IAC repurchased 3.2 million and 1.1 million shares of its common stock, on a trade date basis, at an average price of $51.00 and $77.44 per share, or $165.6 million and $85.3 million in aggregate, respectively. At December 31, 2024, the Company has 3.7 million shares remaining in its share repurchase authorization.</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IAC INC. AND SUBSIDIARIES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8—ACCUMULATED OTHER COMPREHENSIVE LOSS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tables present the components of accumulated other comprehensive loss, net of income tax.</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6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00" w:type="dxa"/>
            <w:vAlign w:val="bottom"/>
          </w:tcPr>
          <w:p>
            <w:pPr>
              <w:spacing w:after="0"/>
              <w:rPr>
                <w:sz w:val="11"/>
                <w:szCs w:val="11"/>
                <w:color w:val="auto"/>
              </w:rPr>
            </w:pPr>
          </w:p>
        </w:tc>
        <w:tc>
          <w:tcPr>
            <w:tcW w:w="142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Unrealized (Losses)</w:t>
            </w:r>
          </w:p>
        </w:tc>
        <w:tc>
          <w:tcPr>
            <w:tcW w:w="140" w:type="dxa"/>
            <w:vAlign w:val="bottom"/>
          </w:tcPr>
          <w:p>
            <w:pPr>
              <w:spacing w:after="0"/>
              <w:rPr>
                <w:sz w:val="11"/>
                <w:szCs w:val="11"/>
                <w:color w:val="auto"/>
              </w:rPr>
            </w:pPr>
          </w:p>
        </w:tc>
        <w:tc>
          <w:tcPr>
            <w:tcW w:w="140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Unrealized Gains</w:t>
            </w:r>
          </w:p>
        </w:tc>
        <w:tc>
          <w:tcPr>
            <w:tcW w:w="120" w:type="dxa"/>
            <w:vAlign w:val="bottom"/>
          </w:tcPr>
          <w:p>
            <w:pPr>
              <w:spacing w:after="0"/>
              <w:rPr>
                <w:sz w:val="11"/>
                <w:szCs w:val="11"/>
                <w:color w:val="auto"/>
              </w:rPr>
            </w:pPr>
          </w:p>
        </w:tc>
        <w:tc>
          <w:tcPr>
            <w:tcW w:w="1320" w:type="dxa"/>
            <w:vAlign w:val="bottom"/>
            <w:vMerge w:val="restart"/>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Gains</w:t>
            </w:r>
          </w:p>
        </w:tc>
        <w:tc>
          <w:tcPr>
            <w:tcW w:w="154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(Losses) On Available-</w:t>
            </w:r>
          </w:p>
        </w:tc>
        <w:tc>
          <w:tcPr>
            <w:tcW w:w="1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5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100" w:type="dxa"/>
            <w:vAlign w:val="bottom"/>
          </w:tcPr>
          <w:p>
            <w:pPr>
              <w:spacing w:after="0"/>
              <w:rPr>
                <w:sz w:val="11"/>
                <w:szCs w:val="11"/>
                <w:color w:val="auto"/>
              </w:rPr>
            </w:pPr>
          </w:p>
        </w:tc>
        <w:tc>
          <w:tcPr>
            <w:tcW w:w="1420" w:type="dxa"/>
            <w:vAlign w:val="bottom"/>
            <w:gridSpan w:val="2"/>
          </w:tcPr>
          <w:p>
            <w:pPr>
              <w:jc w:val="center"/>
              <w:ind w:right="160"/>
              <w:spacing w:after="0" w:line="137" w:lineRule="exact"/>
              <w:rPr>
                <w:sz w:val="20"/>
                <w:szCs w:val="20"/>
                <w:color w:val="auto"/>
              </w:rPr>
            </w:pPr>
            <w:r>
              <w:rPr>
                <w:rFonts w:ascii="Times New Roman" w:cs="Times New Roman" w:eastAsia="Times New Roman" w:hAnsi="Times New Roman"/>
                <w:sz w:val="14"/>
                <w:szCs w:val="14"/>
                <w:b w:val="1"/>
                <w:bCs w:val="1"/>
                <w:color w:val="auto"/>
              </w:rPr>
              <w:t>On Interest Rate</w:t>
            </w:r>
          </w:p>
        </w:tc>
        <w:tc>
          <w:tcPr>
            <w:tcW w:w="1540" w:type="dxa"/>
            <w:vAlign w:val="bottom"/>
            <w:gridSpan w:val="3"/>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For-Sale Marketable</w:t>
            </w:r>
          </w:p>
        </w:tc>
        <w:tc>
          <w:tcPr>
            <w:tcW w:w="120" w:type="dxa"/>
            <w:vAlign w:val="bottom"/>
          </w:tcPr>
          <w:p>
            <w:pPr>
              <w:spacing w:after="0"/>
              <w:rPr>
                <w:sz w:val="11"/>
                <w:szCs w:val="11"/>
                <w:color w:val="auto"/>
              </w:rPr>
            </w:pPr>
          </w:p>
        </w:tc>
        <w:tc>
          <w:tcPr>
            <w:tcW w:w="1320" w:type="dxa"/>
            <w:vAlign w:val="bottom"/>
          </w:tcPr>
          <w:p>
            <w:pPr>
              <w:jc w:val="center"/>
              <w:ind w:right="76"/>
              <w:spacing w:after="0" w:line="13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90"/>
        </w:trPr>
        <w:tc>
          <w:tcPr>
            <w:tcW w:w="5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00" w:type="dxa"/>
            <w:vAlign w:val="bottom"/>
          </w:tcPr>
          <w:p>
            <w:pPr>
              <w:spacing w:after="0"/>
              <w:rPr>
                <w:sz w:val="16"/>
                <w:szCs w:val="16"/>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Swaps</w:t>
            </w:r>
          </w:p>
        </w:tc>
        <w:tc>
          <w:tcPr>
            <w:tcW w:w="140" w:type="dxa"/>
            <w:vAlign w:val="bottom"/>
          </w:tcPr>
          <w:p>
            <w:pPr>
              <w:spacing w:after="0"/>
              <w:rPr>
                <w:sz w:val="16"/>
                <w:szCs w:val="16"/>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Debt Securities</w:t>
            </w:r>
          </w:p>
        </w:tc>
        <w:tc>
          <w:tcPr>
            <w:tcW w:w="120" w:type="dxa"/>
            <w:vAlign w:val="bottom"/>
          </w:tcPr>
          <w:p>
            <w:pPr>
              <w:spacing w:after="0"/>
              <w:rPr>
                <w:sz w:val="16"/>
                <w:szCs w:val="16"/>
                <w:color w:val="auto"/>
              </w:rPr>
            </w:pPr>
          </w:p>
        </w:tc>
        <w:tc>
          <w:tcPr>
            <w:tcW w:w="132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6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(10,266)</w:t>
            </w:r>
          </w:p>
        </w:tc>
        <w:tc>
          <w:tcPr>
            <w:tcW w:w="1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center"/>
              <w:ind w:left="876"/>
              <w:spacing w:after="0"/>
              <w:rPr>
                <w:sz w:val="20"/>
                <w:szCs w:val="20"/>
                <w:color w:val="auto"/>
              </w:rPr>
            </w:pPr>
            <w:r>
              <w:rPr>
                <w:rFonts w:ascii="Times New Roman" w:cs="Times New Roman" w:eastAsia="Times New Roman" w:hAnsi="Times New Roman"/>
                <w:sz w:val="18"/>
                <w:szCs w:val="18"/>
                <w:color w:val="auto"/>
                <w:w w:val="99"/>
              </w:rPr>
              <w:t>20</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(10,942)</w:t>
            </w:r>
          </w:p>
        </w:tc>
        <w:tc>
          <w:tcPr>
            <w:tcW w:w="0" w:type="dxa"/>
            <w:vAlign w:val="bottom"/>
          </w:tcPr>
          <w:p>
            <w:pPr>
              <w:spacing w:after="0"/>
              <w:rPr>
                <w:sz w:val="1"/>
                <w:szCs w:val="1"/>
                <w:color w:val="auto"/>
              </w:rPr>
            </w:pPr>
          </w:p>
        </w:tc>
      </w:tr>
      <w:tr>
        <w:trPr>
          <w:trHeight w:val="223"/>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(loss) income before reclassifications</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center"/>
              <w:ind w:left="876"/>
              <w:spacing w:after="0"/>
              <w:rPr>
                <w:sz w:val="20"/>
                <w:szCs w:val="20"/>
                <w:color w:val="auto"/>
              </w:rPr>
            </w:pPr>
            <w:r>
              <w:rPr>
                <w:rFonts w:ascii="Times New Roman" w:cs="Times New Roman" w:eastAsia="Times New Roman" w:hAnsi="Times New Roman"/>
                <w:sz w:val="18"/>
                <w:szCs w:val="18"/>
                <w:color w:val="auto"/>
                <w:w w:val="99"/>
              </w:rPr>
              <w:t>(20)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2,890</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Amounts reclassified to earnings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center"/>
              <w:ind w:left="776"/>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(3,355)</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current period other comprehensive (loss) income</w:t>
            </w:r>
          </w:p>
        </w:tc>
        <w:tc>
          <w:tcPr>
            <w:tcW w:w="1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(2,448)</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2,003</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center"/>
              <w:ind w:left="876"/>
              <w:spacing w:after="0"/>
              <w:rPr>
                <w:sz w:val="20"/>
                <w:szCs w:val="20"/>
                <w:color w:val="auto"/>
              </w:rPr>
            </w:pPr>
            <w:r>
              <w:rPr>
                <w:rFonts w:ascii="Times New Roman" w:cs="Times New Roman" w:eastAsia="Times New Roman" w:hAnsi="Times New Roman"/>
                <w:sz w:val="18"/>
                <w:szCs w:val="18"/>
                <w:color w:val="auto"/>
                <w:w w:val="99"/>
              </w:rPr>
              <w:t>(20)</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0" w:type="dxa"/>
            <w:vAlign w:val="bottom"/>
          </w:tcPr>
          <w:p>
            <w:pPr>
              <w:spacing w:after="0"/>
              <w:rPr>
                <w:sz w:val="1"/>
                <w:szCs w:val="1"/>
                <w:color w:val="auto"/>
              </w:rPr>
            </w:pPr>
          </w:p>
        </w:tc>
      </w:tr>
      <w:tr>
        <w:trPr>
          <w:trHeight w:val="175"/>
        </w:trPr>
        <w:tc>
          <w:tcPr>
            <w:tcW w:w="52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Accumulated other comprehensive loss allocated to noncontrolling</w:t>
            </w: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interests during the period</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center"/>
              <w:ind w:left="776"/>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(12,703)</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center"/>
              <w:ind w:left="876"/>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(11,396)</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0"/>
        </w:trPr>
        <w:tc>
          <w:tcPr>
            <w:tcW w:w="5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6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Unrealized Gains</w:t>
            </w:r>
          </w:p>
        </w:tc>
        <w:tc>
          <w:tcPr>
            <w:tcW w:w="120" w:type="dxa"/>
            <w:vAlign w:val="bottom"/>
          </w:tcPr>
          <w:p>
            <w:pPr>
              <w:spacing w:after="0"/>
              <w:rPr>
                <w:sz w:val="11"/>
                <w:szCs w:val="11"/>
                <w:color w:val="auto"/>
              </w:rPr>
            </w:pPr>
          </w:p>
        </w:tc>
        <w:tc>
          <w:tcPr>
            <w:tcW w:w="1320" w:type="dxa"/>
            <w:vAlign w:val="bottom"/>
            <w:vMerge w:val="restart"/>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5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Unrealized Losses On</w:t>
            </w:r>
          </w:p>
        </w:tc>
        <w:tc>
          <w:tcPr>
            <w:tcW w:w="154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(Losses) On Available-</w:t>
            </w:r>
          </w:p>
        </w:tc>
        <w:tc>
          <w:tcPr>
            <w:tcW w:w="1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1520" w:type="dxa"/>
            <w:vAlign w:val="bottom"/>
            <w:gridSpan w:val="3"/>
            <w:vMerge w:val="continue"/>
          </w:tcPr>
          <w:p>
            <w:pPr>
              <w:spacing w:after="0"/>
              <w:rPr>
                <w:sz w:val="12"/>
                <w:szCs w:val="12"/>
                <w:color w:val="auto"/>
              </w:rPr>
            </w:pPr>
          </w:p>
        </w:tc>
        <w:tc>
          <w:tcPr>
            <w:tcW w:w="1540" w:type="dxa"/>
            <w:vAlign w:val="bottom"/>
            <w:gridSpan w:val="3"/>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For-Sale Marketable</w:t>
            </w:r>
          </w:p>
        </w:tc>
        <w:tc>
          <w:tcPr>
            <w:tcW w:w="120" w:type="dxa"/>
            <w:vAlign w:val="bottom"/>
          </w:tcPr>
          <w:p>
            <w:pPr>
              <w:spacing w:after="0"/>
              <w:rPr>
                <w:sz w:val="12"/>
                <w:szCs w:val="12"/>
                <w:color w:val="auto"/>
              </w:rPr>
            </w:pPr>
          </w:p>
        </w:tc>
        <w:tc>
          <w:tcPr>
            <w:tcW w:w="1320" w:type="dxa"/>
            <w:vAlign w:val="bottom"/>
          </w:tcPr>
          <w:p>
            <w:pPr>
              <w:jc w:val="center"/>
              <w:ind w:right="76"/>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98"/>
        </w:trPr>
        <w:tc>
          <w:tcPr>
            <w:tcW w:w="5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52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Interest Rate Swaps</w:t>
            </w: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Debt Securities</w:t>
            </w: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0" w:type="dxa"/>
            <w:vAlign w:val="bottom"/>
          </w:tcPr>
          <w:p>
            <w:pPr>
              <w:spacing w:after="0"/>
              <w:rPr>
                <w:sz w:val="1"/>
                <w:szCs w:val="1"/>
                <w:color w:val="auto"/>
              </w:rPr>
            </w:pPr>
          </w:p>
        </w:tc>
      </w:tr>
      <w:tr>
        <w:trPr>
          <w:trHeight w:val="195"/>
        </w:trPr>
        <w:tc>
          <w:tcPr>
            <w:tcW w:w="5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6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(13,186)</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center"/>
              <w:ind w:left="876"/>
              <w:spacing w:after="0"/>
              <w:rPr>
                <w:sz w:val="20"/>
                <w:szCs w:val="20"/>
                <w:color w:val="auto"/>
              </w:rPr>
            </w:pPr>
            <w:r>
              <w:rPr>
                <w:rFonts w:ascii="Times New Roman" w:cs="Times New Roman" w:eastAsia="Times New Roman" w:hAnsi="Times New Roman"/>
                <w:sz w:val="18"/>
                <w:szCs w:val="18"/>
                <w:color w:val="auto"/>
                <w:w w:val="99"/>
              </w:rPr>
              <w:t>53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(13,133)</w:t>
            </w:r>
          </w:p>
        </w:tc>
        <w:tc>
          <w:tcPr>
            <w:tcW w:w="0" w:type="dxa"/>
            <w:vAlign w:val="bottom"/>
          </w:tcPr>
          <w:p>
            <w:pPr>
              <w:spacing w:after="0"/>
              <w:rPr>
                <w:sz w:val="1"/>
                <w:szCs w:val="1"/>
                <w:color w:val="auto"/>
              </w:rPr>
            </w:pPr>
          </w:p>
        </w:tc>
      </w:tr>
      <w:tr>
        <w:trPr>
          <w:trHeight w:val="223"/>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2,915</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2,958</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center"/>
              <w:ind w:left="876"/>
              <w:spacing w:after="0"/>
              <w:rPr>
                <w:sz w:val="20"/>
                <w:szCs w:val="20"/>
                <w:color w:val="auto"/>
              </w:rPr>
            </w:pPr>
            <w:r>
              <w:rPr>
                <w:rFonts w:ascii="Times New Roman" w:cs="Times New Roman" w:eastAsia="Times New Roman" w:hAnsi="Times New Roman"/>
                <w:sz w:val="18"/>
                <w:szCs w:val="18"/>
                <w:color w:val="auto"/>
                <w:w w:val="99"/>
              </w:rPr>
              <w:t>(33)</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5,840</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Amounts reclassified to earnings</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center"/>
              <w:ind w:left="776"/>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(3,654)</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current period other comprehensive income (loss)</w:t>
            </w:r>
          </w:p>
        </w:tc>
        <w:tc>
          <w:tcPr>
            <w:tcW w:w="1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2,915</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center"/>
              <w:ind w:left="876"/>
              <w:spacing w:after="0"/>
              <w:rPr>
                <w:sz w:val="20"/>
                <w:szCs w:val="20"/>
                <w:color w:val="auto"/>
              </w:rPr>
            </w:pPr>
            <w:r>
              <w:rPr>
                <w:rFonts w:ascii="Times New Roman" w:cs="Times New Roman" w:eastAsia="Times New Roman" w:hAnsi="Times New Roman"/>
                <w:sz w:val="18"/>
                <w:szCs w:val="18"/>
                <w:color w:val="auto"/>
                <w:w w:val="99"/>
              </w:rPr>
              <w:t>(33)</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2,186</w:t>
            </w:r>
          </w:p>
        </w:tc>
        <w:tc>
          <w:tcPr>
            <w:tcW w:w="0" w:type="dxa"/>
            <w:vAlign w:val="bottom"/>
          </w:tcPr>
          <w:p>
            <w:pPr>
              <w:spacing w:after="0"/>
              <w:rPr>
                <w:sz w:val="1"/>
                <w:szCs w:val="1"/>
                <w:color w:val="auto"/>
              </w:rPr>
            </w:pPr>
          </w:p>
        </w:tc>
      </w:tr>
      <w:tr>
        <w:trPr>
          <w:trHeight w:val="184"/>
        </w:trPr>
        <w:tc>
          <w:tcPr>
            <w:tcW w:w="52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Accumulated other comprehensive loss allocated to noncontrolling</w:t>
            </w: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interests during the period</w:t>
            </w: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center"/>
              <w:ind w:left="776"/>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(10,266)</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center"/>
              <w:ind w:left="876"/>
              <w:spacing w:after="0"/>
              <w:rPr>
                <w:sz w:val="20"/>
                <w:szCs w:val="20"/>
                <w:color w:val="auto"/>
              </w:rPr>
            </w:pPr>
            <w:r>
              <w:rPr>
                <w:rFonts w:ascii="Times New Roman" w:cs="Times New Roman" w:eastAsia="Times New Roman" w:hAnsi="Times New Roman"/>
                <w:sz w:val="18"/>
                <w:szCs w:val="18"/>
                <w:color w:val="auto"/>
                <w:w w:val="99"/>
              </w:rPr>
              <w:t>20</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(10,942)</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53"/>
        </w:trPr>
        <w:tc>
          <w:tcPr>
            <w:tcW w:w="5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0" w:type="dxa"/>
            <w:vAlign w:val="bottom"/>
            <w:gridSpan w:val="7"/>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540" w:type="dxa"/>
            <w:vAlign w:val="bottom"/>
            <w:gridSpan w:val="3"/>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Unrealized Gains On</w:t>
            </w:r>
          </w:p>
        </w:tc>
        <w:tc>
          <w:tcPr>
            <w:tcW w:w="120" w:type="dxa"/>
            <w:vAlign w:val="bottom"/>
          </w:tcPr>
          <w:p>
            <w:pPr>
              <w:spacing w:after="0"/>
              <w:rPr>
                <w:sz w:val="11"/>
                <w:szCs w:val="11"/>
                <w:color w:val="auto"/>
              </w:rPr>
            </w:pPr>
          </w:p>
        </w:tc>
        <w:tc>
          <w:tcPr>
            <w:tcW w:w="1320" w:type="dxa"/>
            <w:vAlign w:val="bottom"/>
            <w:vMerge w:val="restart"/>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0" w:type="dxa"/>
            <w:vAlign w:val="bottom"/>
          </w:tcPr>
          <w:p>
            <w:pPr>
              <w:spacing w:after="0"/>
              <w:rPr>
                <w:sz w:val="1"/>
                <w:szCs w:val="1"/>
                <w:color w:val="auto"/>
              </w:rPr>
            </w:pPr>
          </w:p>
        </w:tc>
      </w:tr>
      <w:tr>
        <w:trPr>
          <w:trHeight w:val="146"/>
        </w:trPr>
        <w:tc>
          <w:tcPr>
            <w:tcW w:w="5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Available-For-Sale</w:t>
            </w:r>
          </w:p>
        </w:tc>
        <w:tc>
          <w:tcPr>
            <w:tcW w:w="1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140" w:type="dxa"/>
            <w:vAlign w:val="bottom"/>
          </w:tcPr>
          <w:p>
            <w:pPr>
              <w:spacing w:after="0"/>
              <w:rPr>
                <w:sz w:val="12"/>
                <w:szCs w:val="12"/>
                <w:color w:val="auto"/>
              </w:rPr>
            </w:pPr>
          </w:p>
        </w:tc>
        <w:tc>
          <w:tcPr>
            <w:tcW w:w="14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Marketable Debt</w:t>
            </w:r>
          </w:p>
        </w:tc>
        <w:tc>
          <w:tcPr>
            <w:tcW w:w="120" w:type="dxa"/>
            <w:vAlign w:val="bottom"/>
          </w:tcPr>
          <w:p>
            <w:pPr>
              <w:spacing w:after="0"/>
              <w:rPr>
                <w:sz w:val="12"/>
                <w:szCs w:val="12"/>
                <w:color w:val="auto"/>
              </w:rPr>
            </w:pPr>
          </w:p>
        </w:tc>
        <w:tc>
          <w:tcPr>
            <w:tcW w:w="1320" w:type="dxa"/>
            <w:vAlign w:val="bottom"/>
          </w:tcPr>
          <w:p>
            <w:pPr>
              <w:jc w:val="center"/>
              <w:ind w:right="76"/>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96"/>
        </w:trPr>
        <w:tc>
          <w:tcPr>
            <w:tcW w:w="5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0" w:type="dxa"/>
            <w:vAlign w:val="bottom"/>
          </w:tcPr>
          <w:p>
            <w:pPr>
              <w:spacing w:after="0"/>
              <w:rPr>
                <w:sz w:val="1"/>
                <w:szCs w:val="1"/>
                <w:color w:val="auto"/>
              </w:rPr>
            </w:pPr>
          </w:p>
        </w:tc>
      </w:tr>
      <w:tr>
        <w:trPr>
          <w:trHeight w:val="196"/>
        </w:trPr>
        <w:tc>
          <w:tcPr>
            <w:tcW w:w="5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center"/>
              <w:ind w:left="776"/>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4,397</w:t>
            </w:r>
          </w:p>
        </w:tc>
        <w:tc>
          <w:tcPr>
            <w:tcW w:w="0" w:type="dxa"/>
            <w:vAlign w:val="bottom"/>
          </w:tcPr>
          <w:p>
            <w:pPr>
              <w:spacing w:after="0"/>
              <w:rPr>
                <w:sz w:val="1"/>
                <w:szCs w:val="1"/>
                <w:color w:val="auto"/>
              </w:rPr>
            </w:pPr>
          </w:p>
        </w:tc>
      </w:tr>
      <w:tr>
        <w:trPr>
          <w:trHeight w:val="223"/>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(loss) income before reclassifications</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(17,636)</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center"/>
              <w:ind w:left="876"/>
              <w:spacing w:after="0"/>
              <w:rPr>
                <w:sz w:val="20"/>
                <w:szCs w:val="20"/>
                <w:color w:val="auto"/>
              </w:rPr>
            </w:pPr>
            <w:r>
              <w:rPr>
                <w:rFonts w:ascii="Times New Roman" w:cs="Times New Roman" w:eastAsia="Times New Roman" w:hAnsi="Times New Roman"/>
                <w:sz w:val="18"/>
                <w:szCs w:val="18"/>
                <w:color w:val="auto"/>
                <w:w w:val="99"/>
              </w:rPr>
              <w:t>53</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(17,583)</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Amounts reclassified to earnings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center"/>
              <w:ind w:left="776"/>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current period other comprehensive (loss) income</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(17,594)</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center"/>
              <w:ind w:left="876"/>
              <w:spacing w:after="0"/>
              <w:rPr>
                <w:sz w:val="20"/>
                <w:szCs w:val="20"/>
                <w:color w:val="auto"/>
              </w:rPr>
            </w:pPr>
            <w:r>
              <w:rPr>
                <w:rFonts w:ascii="Times New Roman" w:cs="Times New Roman" w:eastAsia="Times New Roman" w:hAnsi="Times New Roman"/>
                <w:sz w:val="18"/>
                <w:szCs w:val="18"/>
                <w:color w:val="auto"/>
                <w:w w:val="99"/>
              </w:rPr>
              <w:t>53</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(17,541)</w:t>
            </w:r>
          </w:p>
        </w:tc>
        <w:tc>
          <w:tcPr>
            <w:tcW w:w="0" w:type="dxa"/>
            <w:vAlign w:val="bottom"/>
          </w:tcPr>
          <w:p>
            <w:pPr>
              <w:spacing w:after="0"/>
              <w:rPr>
                <w:sz w:val="1"/>
                <w:szCs w:val="1"/>
                <w:color w:val="auto"/>
              </w:rPr>
            </w:pPr>
          </w:p>
        </w:tc>
      </w:tr>
      <w:tr>
        <w:trPr>
          <w:trHeight w:val="175"/>
        </w:trPr>
        <w:tc>
          <w:tcPr>
            <w:tcW w:w="6740" w:type="dxa"/>
            <w:vAlign w:val="bottom"/>
            <w:gridSpan w:val="4"/>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Accumulated other comprehensive loss allocated to noncontrolling interests during the</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period</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center"/>
              <w:ind w:left="776"/>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(13,186)</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center"/>
              <w:ind w:left="876"/>
              <w:spacing w:after="0"/>
              <w:rPr>
                <w:sz w:val="20"/>
                <w:szCs w:val="20"/>
                <w:color w:val="auto"/>
              </w:rPr>
            </w:pPr>
            <w:r>
              <w:rPr>
                <w:rFonts w:ascii="Times New Roman" w:cs="Times New Roman" w:eastAsia="Times New Roman" w:hAnsi="Times New Roman"/>
                <w:sz w:val="18"/>
                <w:szCs w:val="18"/>
                <w:color w:val="auto"/>
                <w:w w:val="99"/>
              </w:rPr>
              <w:t>53</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(13,133)</w:t>
            </w:r>
          </w:p>
        </w:tc>
        <w:tc>
          <w:tcPr>
            <w:tcW w:w="0" w:type="dxa"/>
            <w:vAlign w:val="bottom"/>
          </w:tcPr>
          <w:p>
            <w:pPr>
              <w:spacing w:after="0"/>
              <w:rPr>
                <w:sz w:val="1"/>
                <w:szCs w:val="1"/>
                <w:color w:val="auto"/>
              </w:rPr>
            </w:pPr>
          </w:p>
        </w:tc>
      </w:tr>
      <w:tr>
        <w:trPr>
          <w:trHeight w:val="21"/>
        </w:trPr>
        <w:tc>
          <w:tcPr>
            <w:tcW w:w="5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vMerge w:val="restart"/>
          </w:tcPr>
          <w:p>
            <w:pPr>
              <w:jc w:val="right"/>
              <w:ind w:right="776"/>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6"/>
        </w:trPr>
        <w:tc>
          <w:tcPr>
            <w:tcW w:w="5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IAC INC. AND SUBSIDIARIES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0" w:firstLine="405"/>
        <w:spacing w:after="0" w:line="282" w:lineRule="auto"/>
        <w:rPr>
          <w:sz w:val="20"/>
          <w:szCs w:val="20"/>
          <w:color w:val="auto"/>
        </w:rPr>
      </w:pPr>
      <w:r>
        <w:rPr>
          <w:rFonts w:ascii="Times New Roman" w:cs="Times New Roman" w:eastAsia="Times New Roman" w:hAnsi="Times New Roman"/>
          <w:sz w:val="18"/>
          <w:szCs w:val="18"/>
          <w:color w:val="auto"/>
        </w:rPr>
        <w:t>The amounts reclassified out of foreign currency translation adjustment into earnings for the years ended December 31, 2024 and 2022 relate to the substantial liquidation of certain international subsidiaries.</w:t>
      </w:r>
    </w:p>
    <w:p>
      <w:pPr>
        <w:spacing w:after="0" w:line="162" w:lineRule="exact"/>
        <w:rPr>
          <w:sz w:val="20"/>
          <w:szCs w:val="20"/>
          <w:color w:val="auto"/>
        </w:rPr>
      </w:pPr>
    </w:p>
    <w:p>
      <w:pPr>
        <w:ind w:right="140" w:firstLine="405"/>
        <w:spacing w:after="0" w:line="266" w:lineRule="auto"/>
        <w:rPr>
          <w:sz w:val="20"/>
          <w:szCs w:val="20"/>
          <w:color w:val="auto"/>
        </w:rPr>
      </w:pPr>
      <w:r>
        <w:rPr>
          <w:rFonts w:ascii="Times New Roman" w:cs="Times New Roman" w:eastAsia="Times New Roman" w:hAnsi="Times New Roman"/>
          <w:sz w:val="18"/>
          <w:szCs w:val="18"/>
          <w:color w:val="auto"/>
        </w:rPr>
        <w:t>At December 31, 2024 and 2023, there was a deferred income tax provision of $0.4 million and a deferred income tax benefit of $0.2 million, respectively, related to unrealized gains and losses, respectively, on interest rate swaps. At December 31, 2023, and 2022, there was a deferred income tax provision of less than $0.1 million related to net unrealized gains on available-for-sale marketable debt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9—SEGMENT INFORMATION</w:t>
      </w:r>
    </w:p>
    <w:p>
      <w:pPr>
        <w:spacing w:after="0" w:line="229"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The overall concept that the Company employs in determining its operating segments is to present the financial information in a manner consistent with the chief operating decision maker's (“CODM”) view of the businesses. The Office of the Chairman, which is comprised of certain executives and members of the board of directors, is the CODM of the Company. We consider how the businesses are organized as to segment management and the focus of the businesses with regards to the types of services or products offered or the target market. Operating segments are combined for reporting purposes in the case of Emerging &amp; Other because they do not meet the quantitative thresholds that require presentation as separate reportable segments.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Disaggregated Revenue</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revenue by reportable segment:</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6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6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Dotdash Meredith</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Digital</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1,004,417</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892,426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931,482</w:t>
            </w:r>
          </w:p>
        </w:tc>
      </w:tr>
      <w:tr>
        <w:trPr>
          <w:trHeight w:val="229"/>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794,045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823,456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1,026,128</w:t>
            </w:r>
          </w:p>
        </w:tc>
      </w:tr>
      <w:tr>
        <w:trPr>
          <w:trHeight w:val="230"/>
        </w:trPr>
        <w:tc>
          <w:tcPr>
            <w:tcW w:w="670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Intersegment eliminations</w:t>
            </w:r>
            <w:r>
              <w:rPr>
                <w:rFonts w:ascii="Times New Roman" w:cs="Times New Roman" w:eastAsia="Times New Roman" w:hAnsi="Times New Roman"/>
                <w:sz w:val="23"/>
                <w:szCs w:val="23"/>
                <w:color w:val="auto"/>
                <w:vertAlign w:val="superscript"/>
              </w:rPr>
              <w:t>(a)</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(20,989)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(22,911)</w:t>
            </w: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Dotdash Meredith</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1,777,229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1,694,893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1,934,699</w:t>
            </w: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Angi</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Domestic:</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6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Ads and Leads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962,601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1,124,908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1,282,061</w:t>
            </w:r>
          </w:p>
        </w:tc>
      </w:tr>
      <w:tr>
        <w:trPr>
          <w:trHeight w:val="229"/>
        </w:trPr>
        <w:tc>
          <w:tcPr>
            <w:tcW w:w="67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Services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93,521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118,033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381,256</w:t>
            </w:r>
          </w:p>
        </w:tc>
      </w:tr>
      <w:tr>
        <w:trPr>
          <w:trHeight w:val="223"/>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Domestic</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1,056,122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1,242,941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1,663,317</w:t>
            </w:r>
          </w:p>
        </w:tc>
      </w:tr>
      <w:tr>
        <w:trPr>
          <w:trHeight w:val="229"/>
        </w:trPr>
        <w:tc>
          <w:tcPr>
            <w:tcW w:w="6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International</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128,990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115,807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101,038</w:t>
            </w: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Angi</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1,185,112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1,358,748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1,764,355</w:t>
            </w: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Care.com</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369,620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362,570</w:t>
            </w: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Search</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387,699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629,038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731,431</w:t>
            </w: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Emerging &amp; Other</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460,895</w:t>
            </w:r>
          </w:p>
        </w:tc>
      </w:tr>
      <w:tr>
        <w:trPr>
          <w:trHeight w:val="230"/>
        </w:trPr>
        <w:tc>
          <w:tcPr>
            <w:tcW w:w="67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Intersegment eliminations</w:t>
            </w:r>
            <w:r>
              <w:rPr>
                <w:rFonts w:ascii="Times New Roman" w:cs="Times New Roman" w:eastAsia="Times New Roman" w:hAnsi="Times New Roman"/>
                <w:sz w:val="23"/>
                <w:szCs w:val="23"/>
                <w:color w:val="auto"/>
                <w:vertAlign w:val="superscript"/>
              </w:rPr>
              <w:t>(b)</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(18,670)</w:t>
            </w:r>
          </w:p>
        </w:tc>
      </w:tr>
      <w:tr>
        <w:trPr>
          <w:trHeight w:val="223"/>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3,807,233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4,365,235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5,235,280</w:t>
            </w:r>
          </w:p>
        </w:tc>
      </w:tr>
      <w:tr>
        <w:trPr>
          <w:trHeight w:val="20"/>
        </w:trPr>
        <w:tc>
          <w:tcPr>
            <w:tcW w:w="6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13" w:lineRule="exact"/>
        <w:rPr>
          <w:sz w:val="20"/>
          <w:szCs w:val="20"/>
          <w:color w:val="auto"/>
        </w:rPr>
      </w:pPr>
    </w:p>
    <w:p>
      <w:pPr>
        <w:ind w:left="660" w:right="100" w:hanging="328"/>
        <w:spacing w:after="0" w:line="221" w:lineRule="auto"/>
        <w:tabs>
          <w:tab w:leader="none" w:pos="583" w:val="left"/>
        </w:tabs>
        <w:numPr>
          <w:ilvl w:val="0"/>
          <w:numId w:val="6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Intersegment eliminations primarily relate to Dotdash Meredith Digital performance marketing commissions earned for the placement of magazine subscriptions for Dotdash Meredith Print.</w:t>
      </w:r>
    </w:p>
    <w:p>
      <w:pPr>
        <w:spacing w:after="0" w:line="204" w:lineRule="exact"/>
        <w:rPr>
          <w:rFonts w:ascii="Times New Roman" w:cs="Times New Roman" w:eastAsia="Times New Roman" w:hAnsi="Times New Roman"/>
          <w:sz w:val="19"/>
          <w:szCs w:val="19"/>
          <w:color w:val="auto"/>
          <w:vertAlign w:val="superscript"/>
        </w:rPr>
      </w:pPr>
    </w:p>
    <w:p>
      <w:pPr>
        <w:ind w:left="660" w:right="60" w:hanging="328"/>
        <w:spacing w:after="0" w:line="302" w:lineRule="auto"/>
        <w:tabs>
          <w:tab w:leader="none" w:pos="589" w:val="left"/>
        </w:tabs>
        <w:numPr>
          <w:ilvl w:val="0"/>
          <w:numId w:val="6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Intersegment eliminations primarily relate to advertising sold by Dotdash Meredith to other IAC owned businesses and Ads and Leads revenue earned from sales to Roofing prior to its sale.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IAC INC. AND SUBSIDIARIES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the revenue of the Company's segments disaggregated by type of service:</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6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6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Dotdash Meredith</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Digital:</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Advertising revenue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643,725</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560,786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621,714</w:t>
            </w:r>
          </w:p>
        </w:tc>
      </w:tr>
      <w:tr>
        <w:trPr>
          <w:trHeight w:val="230"/>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Performance marketing revenue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243,895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231,087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198,441</w:t>
            </w:r>
          </w:p>
        </w:tc>
      </w:tr>
      <w:tr>
        <w:trPr>
          <w:trHeight w:val="229"/>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Licensing and other revenue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116,797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100,553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111,327</w:t>
            </w:r>
          </w:p>
        </w:tc>
      </w:tr>
      <w:tr>
        <w:trPr>
          <w:trHeight w:val="25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Digital revenue</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1,004,417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892,426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931,482</w:t>
            </w: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Subscription revenue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327,079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329,357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422,700</w:t>
            </w:r>
          </w:p>
        </w:tc>
      </w:tr>
      <w:tr>
        <w:trPr>
          <w:trHeight w:val="229"/>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Advertising revenue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260,282</w:t>
            </w:r>
          </w:p>
        </w:tc>
      </w:tr>
      <w:tr>
        <w:trPr>
          <w:trHeight w:val="230"/>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Project and other revenue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154,807</w:t>
            </w:r>
          </w:p>
        </w:tc>
      </w:tr>
      <w:tr>
        <w:trPr>
          <w:trHeight w:val="229"/>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Newsstand revenue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132,855</w:t>
            </w:r>
          </w:p>
        </w:tc>
      </w:tr>
      <w:tr>
        <w:trPr>
          <w:trHeight w:val="229"/>
        </w:trPr>
        <w:tc>
          <w:tcPr>
            <w:tcW w:w="6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Performance marketing revenue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34,891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45,219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55,484</w:t>
            </w:r>
          </w:p>
        </w:tc>
      </w:tr>
      <w:tr>
        <w:trPr>
          <w:trHeight w:val="25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Print revenue</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794,045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823,456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1,026,128</w:t>
            </w:r>
          </w:p>
        </w:tc>
      </w:tr>
      <w:tr>
        <w:trPr>
          <w:trHeight w:val="270"/>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Intersegment eliminations</w:t>
            </w:r>
            <w:r>
              <w:rPr>
                <w:rFonts w:ascii="Times New Roman" w:cs="Times New Roman" w:eastAsia="Times New Roman" w:hAnsi="Times New Roman"/>
                <w:sz w:val="23"/>
                <w:szCs w:val="23"/>
                <w:color w:val="auto"/>
                <w:vertAlign w:val="superscript"/>
              </w:rPr>
              <w:t>(a)</w:t>
            </w:r>
          </w:p>
        </w:tc>
        <w:tc>
          <w:tcPr>
            <w:tcW w:w="3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(21,233)</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(20,989)</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(22,911)</w:t>
            </w:r>
          </w:p>
        </w:tc>
      </w:tr>
      <w:tr>
        <w:trPr>
          <w:trHeight w:val="248"/>
        </w:trPr>
        <w:tc>
          <w:tcPr>
            <w:tcW w:w="67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Dotdash Meredith revenue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1,777,229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1,694,893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1,934,699</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Angi</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4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6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Ads and Leads: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30"/>
        </w:trPr>
        <w:tc>
          <w:tcPr>
            <w:tcW w:w="6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Consumer connection revenue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606,560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781,089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954,735</w:t>
            </w:r>
          </w:p>
        </w:tc>
      </w:tr>
      <w:tr>
        <w:trPr>
          <w:trHeight w:val="229"/>
        </w:trPr>
        <w:tc>
          <w:tcPr>
            <w:tcW w:w="6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Advertising revenue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312,281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290,799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265,466</w:t>
            </w:r>
          </w:p>
        </w:tc>
      </w:tr>
      <w:tr>
        <w:trPr>
          <w:trHeight w:val="230"/>
        </w:trPr>
        <w:tc>
          <w:tcPr>
            <w:tcW w:w="6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Membership subscription revenue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43,076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60,411</w:t>
            </w:r>
          </w:p>
        </w:tc>
      </w:tr>
      <w:tr>
        <w:trPr>
          <w:trHeight w:val="270"/>
        </w:trPr>
        <w:tc>
          <w:tcPr>
            <w:tcW w:w="6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revenue</w:t>
            </w: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w:t>
            </w:r>
          </w:p>
        </w:tc>
      </w:tr>
      <w:tr>
        <w:trPr>
          <w:trHeight w:val="250"/>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Ads and Leads revenue</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962,601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1,124,908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1,282,061</w:t>
            </w:r>
          </w:p>
        </w:tc>
      </w:tr>
      <w:tr>
        <w:trPr>
          <w:trHeight w:val="270"/>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Services revenue</w:t>
            </w: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93,521</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118,033</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381,256</w:t>
            </w: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Domestic revenue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1,056,122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1,242,941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1,663,317</w:t>
            </w: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Consumer connection revenue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71,851</w:t>
            </w:r>
          </w:p>
        </w:tc>
      </w:tr>
      <w:tr>
        <w:trPr>
          <w:trHeight w:val="229"/>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Membership subscription revenue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28,192</w:t>
            </w:r>
          </w:p>
        </w:tc>
      </w:tr>
      <w:tr>
        <w:trPr>
          <w:trHeight w:val="230"/>
        </w:trPr>
        <w:tc>
          <w:tcPr>
            <w:tcW w:w="6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Advertising and other revenue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995</w:t>
            </w: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International revenue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128,990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115,807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101,038</w:t>
            </w:r>
          </w:p>
        </w:tc>
      </w:tr>
      <w:tr>
        <w:trPr>
          <w:trHeight w:val="223"/>
        </w:trPr>
        <w:tc>
          <w:tcPr>
            <w:tcW w:w="6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Angi revenue</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1,185,112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1,358,748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1,764,355</w:t>
            </w: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3"/>
        </w:trPr>
        <w:tc>
          <w:tcPr>
            <w:tcW w:w="67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Care.com</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 revenue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191,274</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217,691</w:t>
            </w:r>
          </w:p>
        </w:tc>
      </w:tr>
      <w:tr>
        <w:trPr>
          <w:trHeight w:val="230"/>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Enterprise revenue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178,346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164,584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144,879</w:t>
            </w:r>
          </w:p>
        </w:tc>
      </w:tr>
      <w:tr>
        <w:trPr>
          <w:trHeight w:val="248"/>
        </w:trPr>
        <w:tc>
          <w:tcPr>
            <w:tcW w:w="67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Care.com revenue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369,620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362,570</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Search</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Advertising revenue:</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Google advertising revenue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376,970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582,481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525,987</w:t>
            </w:r>
          </w:p>
        </w:tc>
      </w:tr>
      <w:tr>
        <w:trPr>
          <w:trHeight w:val="229"/>
        </w:trPr>
        <w:tc>
          <w:tcPr>
            <w:tcW w:w="6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Non-Google advertising revenue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44,068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200,435</w:t>
            </w: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advertising revenue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386,250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626,549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726,422</w:t>
            </w:r>
          </w:p>
        </w:tc>
      </w:tr>
      <w:tr>
        <w:trPr>
          <w:trHeight w:val="229"/>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5,009</w:t>
            </w:r>
          </w:p>
        </w:tc>
      </w:tr>
      <w:tr>
        <w:trPr>
          <w:trHeight w:val="248"/>
        </w:trPr>
        <w:tc>
          <w:tcPr>
            <w:tcW w:w="67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Search revenue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387,699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629,038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731,431</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Emerging &amp; Other</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Subscription revenue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52,207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180,940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196,965</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Marketplace revenue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70,180</w:t>
            </w:r>
          </w:p>
        </w:tc>
      </w:tr>
    </w:tbl>
    <w:p>
      <w:pPr>
        <w:spacing w:after="0" w:line="200" w:lineRule="exact"/>
        <w:rPr>
          <w:sz w:val="20"/>
          <w:szCs w:val="20"/>
          <w:color w:val="auto"/>
        </w:rPr>
      </w:pPr>
    </w:p>
    <w:p>
      <w:pPr>
        <w:sectPr>
          <w:pgSz w:w="11900" w:h="16838" w:orient="portrait"/>
          <w:cols w:equalWidth="0" w:num="1">
            <w:col w:w="11220"/>
          </w:cols>
          <w:pgMar w:left="320" w:top="118" w:right="359" w:bottom="501"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501" w:gutter="0" w:footer="0" w:header="0"/>
          <w:type w:val="continuous"/>
        </w:sectPr>
      </w:pPr>
    </w:p>
    <w:bookmarkStart w:id="129" w:name="page130"/>
    <w:bookmarkEnd w:id="1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IAC INC. AND SUBSIDIARIES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00" w:type="dxa"/>
            <w:vAlign w:val="bottom"/>
          </w:tcPr>
          <w:p>
            <w:pPr>
              <w:spacing w:after="0"/>
              <w:rPr>
                <w:sz w:val="2"/>
                <w:szCs w:val="2"/>
                <w:color w:val="auto"/>
              </w:rPr>
            </w:pPr>
          </w:p>
        </w:tc>
        <w:tc>
          <w:tcPr>
            <w:tcW w:w="326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3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top w:val="single" w:sz="8" w:color="auto"/>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3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Media production and distribution revenue</w:t>
            </w:r>
          </w:p>
        </w:tc>
        <w:tc>
          <w:tcPr>
            <w:tcW w:w="2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31,555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Roofing revenue</w:t>
            </w:r>
          </w:p>
        </w:tc>
        <w:tc>
          <w:tcPr>
            <w:tcW w:w="24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90,557</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137,509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Advertising revenue:</w:t>
            </w:r>
          </w:p>
        </w:tc>
        <w:tc>
          <w:tcPr>
            <w:tcW w:w="2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Non-Google advertising revenue</w:t>
            </w:r>
          </w:p>
        </w:tc>
        <w:tc>
          <w:tcPr>
            <w:tcW w:w="2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Google advertising revenue</w:t>
            </w:r>
          </w:p>
        </w:tc>
        <w:tc>
          <w:tcPr>
            <w:tcW w:w="24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advertising revenue</w:t>
            </w:r>
          </w:p>
        </w:tc>
        <w:tc>
          <w:tcPr>
            <w:tcW w:w="2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Service and other revenue</w:t>
            </w:r>
          </w:p>
        </w:tc>
        <w:tc>
          <w:tcPr>
            <w:tcW w:w="24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3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Emerging &amp; Other revenue</w:t>
            </w:r>
          </w:p>
        </w:tc>
        <w:tc>
          <w:tcPr>
            <w:tcW w:w="2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89,028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460,895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bottom w:val="single" w:sz="8" w:color="CCEEFF"/>
            </w:tcBorders>
            <w:vMerge w:val="restart"/>
          </w:tcPr>
          <w:p>
            <w:pPr>
              <w:jc w:val="right"/>
              <w:ind w:right="850"/>
              <w:spacing w:after="0"/>
              <w:rPr>
                <w:sz w:val="20"/>
                <w:szCs w:val="20"/>
                <w:color w:val="auto"/>
              </w:rPr>
            </w:pPr>
            <w:r>
              <w:rPr>
                <w:rFonts w:ascii="Times New Roman" w:cs="Times New Roman" w:eastAsia="Times New Roman" w:hAnsi="Times New Roman"/>
                <w:sz w:val="18"/>
                <w:szCs w:val="18"/>
                <w:color w:val="auto"/>
              </w:rPr>
              <w:t>128</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3"/>
        </w:trPr>
        <w:tc>
          <w:tcPr>
            <w:tcW w:w="430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00" w:type="dxa"/>
            <w:vAlign w:val="bottom"/>
            <w:tcBorders>
              <w:bottom w:val="single" w:sz="8" w:color="9A9A9A"/>
            </w:tcBorders>
          </w:tcPr>
          <w:p>
            <w:pPr>
              <w:spacing w:after="0"/>
              <w:rPr>
                <w:sz w:val="10"/>
                <w:szCs w:val="10"/>
                <w:color w:val="auto"/>
              </w:rPr>
            </w:pPr>
          </w:p>
        </w:tc>
        <w:tc>
          <w:tcPr>
            <w:tcW w:w="24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IAC INC. AND SUBSIDIARIES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Segment Expenses</w:t>
      </w:r>
    </w:p>
    <w:p>
      <w:pPr>
        <w:spacing w:after="0" w:line="229" w:lineRule="exact"/>
        <w:rPr>
          <w:sz w:val="20"/>
          <w:szCs w:val="20"/>
          <w:color w:val="auto"/>
        </w:rPr>
      </w:pPr>
    </w:p>
    <w:p>
      <w:pPr>
        <w:ind w:right="66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significant expenses included in the Company's segment reporting performance measure, Segment Adjusted EBITDA, that are regularly provided to the CODM by the Company's reportable segments: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6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6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Expenses: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Dotdash Meredith</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Digital:</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6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Cost of revenue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272,225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240,985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309,100</w:t>
            </w:r>
          </w:p>
        </w:tc>
      </w:tr>
      <w:tr>
        <w:trPr>
          <w:trHeight w:val="229"/>
        </w:trPr>
        <w:tc>
          <w:tcPr>
            <w:tcW w:w="6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Selling and marketing expense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196,696</w:t>
            </w:r>
          </w:p>
        </w:tc>
      </w:tr>
      <w:tr>
        <w:trPr>
          <w:trHeight w:val="230"/>
        </w:trPr>
        <w:tc>
          <w:tcPr>
            <w:tcW w:w="6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97,932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127,671</w:t>
            </w:r>
          </w:p>
        </w:tc>
      </w:tr>
      <w:tr>
        <w:trPr>
          <w:trHeight w:val="229"/>
        </w:trPr>
        <w:tc>
          <w:tcPr>
            <w:tcW w:w="6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Product development expense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123,005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113,517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111,319</w:t>
            </w: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Digital expenses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715,024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649,457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744,786</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6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Cost of revenue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389,089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415,354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527,858</w:t>
            </w:r>
          </w:p>
        </w:tc>
      </w:tr>
      <w:tr>
        <w:trPr>
          <w:trHeight w:val="230"/>
        </w:trPr>
        <w:tc>
          <w:tcPr>
            <w:tcW w:w="6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Selling and marketing expense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290,709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402,564</w:t>
            </w:r>
          </w:p>
        </w:tc>
      </w:tr>
      <w:tr>
        <w:trPr>
          <w:trHeight w:val="229"/>
        </w:trPr>
        <w:tc>
          <w:tcPr>
            <w:tcW w:w="6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49,898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54,082</w:t>
            </w:r>
          </w:p>
        </w:tc>
      </w:tr>
      <w:tr>
        <w:trPr>
          <w:trHeight w:val="230"/>
        </w:trPr>
        <w:tc>
          <w:tcPr>
            <w:tcW w:w="6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Product development expense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10,489</w:t>
            </w: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Print expenses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740,252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759,230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994,993</w:t>
            </w: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670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(c)</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47,766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65,682</w:t>
            </w:r>
          </w:p>
        </w:tc>
      </w:tr>
      <w:tr>
        <w:trPr>
          <w:trHeight w:val="229"/>
        </w:trPr>
        <w:tc>
          <w:tcPr>
            <w:tcW w:w="6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(20,989)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(22,911)</w:t>
            </w:r>
          </w:p>
        </w:tc>
      </w:tr>
      <w:tr>
        <w:trPr>
          <w:trHeight w:val="223"/>
        </w:trPr>
        <w:tc>
          <w:tcPr>
            <w:tcW w:w="6700" w:type="dxa"/>
            <w:vAlign w:val="bottom"/>
          </w:tcPr>
          <w:p>
            <w:pPr>
              <w:ind w:left="460"/>
              <w:spacing w:after="0" w:line="223" w:lineRule="exact"/>
              <w:rPr>
                <w:sz w:val="20"/>
                <w:szCs w:val="20"/>
                <w:color w:val="auto"/>
              </w:rPr>
            </w:pPr>
            <w:r>
              <w:rPr>
                <w:rFonts w:ascii="Times New Roman" w:cs="Times New Roman" w:eastAsia="Times New Roman" w:hAnsi="Times New Roman"/>
                <w:sz w:val="18"/>
                <w:szCs w:val="18"/>
                <w:color w:val="auto"/>
              </w:rPr>
              <w:t>Total Dotdash Meredith expenses</w:t>
            </w:r>
            <w:r>
              <w:rPr>
                <w:rFonts w:ascii="Times New Roman" w:cs="Times New Roman" w:eastAsia="Times New Roman" w:hAnsi="Times New Roman"/>
                <w:sz w:val="23"/>
                <w:szCs w:val="23"/>
                <w:color w:val="auto"/>
                <w:vertAlign w:val="superscript"/>
              </w:rPr>
              <w:t>(d)</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1,481,809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1,472,136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1,782,550</w:t>
            </w: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62"/>
        </w:trPr>
        <w:tc>
          <w:tcPr>
            <w:tcW w:w="67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Angi</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67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Domestic</w:t>
            </w:r>
            <w:r>
              <w:rPr>
                <w:rFonts w:ascii="Times New Roman" w:cs="Times New Roman" w:eastAsia="Times New Roman" w:hAnsi="Times New Roman"/>
                <w:sz w:val="23"/>
                <w:szCs w:val="23"/>
                <w:color w:val="auto"/>
                <w:vertAlign w:val="superscript"/>
              </w:rPr>
              <w:t>(e)</w:t>
            </w: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670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Consumer marketing expense</w:t>
            </w:r>
            <w:r>
              <w:rPr>
                <w:rFonts w:ascii="Times New Roman" w:cs="Times New Roman" w:eastAsia="Times New Roman" w:hAnsi="Times New Roman"/>
                <w:sz w:val="23"/>
                <w:szCs w:val="23"/>
                <w:color w:val="auto"/>
                <w:vertAlign w:val="superscript"/>
              </w:rPr>
              <w:t>(f)</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309,139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435,620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520,744</w:t>
            </w:r>
          </w:p>
        </w:tc>
      </w:tr>
      <w:tr>
        <w:trPr>
          <w:trHeight w:val="230"/>
        </w:trPr>
        <w:tc>
          <w:tcPr>
            <w:tcW w:w="670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Professional acquisition expense</w:t>
            </w:r>
            <w:r>
              <w:rPr>
                <w:rFonts w:ascii="Times New Roman" w:cs="Times New Roman" w:eastAsia="Times New Roman" w:hAnsi="Times New Roman"/>
                <w:sz w:val="23"/>
                <w:szCs w:val="23"/>
                <w:color w:val="auto"/>
                <w:vertAlign w:val="superscript"/>
              </w:rPr>
              <w:t>(g)</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233,645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274,209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296,374</w:t>
            </w:r>
          </w:p>
        </w:tc>
      </w:tr>
      <w:tr>
        <w:trPr>
          <w:trHeight w:val="230"/>
        </w:trPr>
        <w:tc>
          <w:tcPr>
            <w:tcW w:w="670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Fixed expense</w:t>
            </w:r>
            <w:r>
              <w:rPr>
                <w:rFonts w:ascii="Times New Roman" w:cs="Times New Roman" w:eastAsia="Times New Roman" w:hAnsi="Times New Roman"/>
                <w:sz w:val="23"/>
                <w:szCs w:val="23"/>
                <w:color w:val="auto"/>
                <w:vertAlign w:val="superscript"/>
              </w:rPr>
              <w:t>(h)</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206,687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212,837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226,030</w:t>
            </w:r>
          </w:p>
        </w:tc>
      </w:tr>
      <w:tr>
        <w:trPr>
          <w:trHeight w:val="230"/>
        </w:trPr>
        <w:tc>
          <w:tcPr>
            <w:tcW w:w="670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Variable expense</w:t>
            </w:r>
            <w:r>
              <w:rPr>
                <w:rFonts w:ascii="Times New Roman" w:cs="Times New Roman" w:eastAsia="Times New Roman" w:hAnsi="Times New Roman"/>
                <w:sz w:val="23"/>
                <w:szCs w:val="23"/>
                <w:color w:val="auto"/>
                <w:vertAlign w:val="superscript"/>
              </w:rPr>
              <w:t>(i)</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218,644</w:t>
            </w:r>
          </w:p>
        </w:tc>
      </w:tr>
      <w:tr>
        <w:trPr>
          <w:trHeight w:val="229"/>
        </w:trPr>
        <w:tc>
          <w:tcPr>
            <w:tcW w:w="6700" w:type="dxa"/>
            <w:vAlign w:val="bottom"/>
            <w:tcBorders>
              <w:bottom w:val="single" w:sz="8" w:color="CCEEFF"/>
            </w:tcBorders>
          </w:tcPr>
          <w:p>
            <w:pPr>
              <w:ind w:left="240"/>
              <w:spacing w:after="0" w:line="230" w:lineRule="exact"/>
              <w:rPr>
                <w:sz w:val="20"/>
                <w:szCs w:val="20"/>
                <w:color w:val="auto"/>
              </w:rPr>
            </w:pPr>
            <w:r>
              <w:rPr>
                <w:rFonts w:ascii="Times New Roman" w:cs="Times New Roman" w:eastAsia="Times New Roman" w:hAnsi="Times New Roman"/>
                <w:sz w:val="18"/>
                <w:szCs w:val="18"/>
                <w:color w:val="auto"/>
              </w:rPr>
              <w:t>Cost of revenue</w:t>
            </w:r>
            <w:r>
              <w:rPr>
                <w:rFonts w:ascii="Times New Roman" w:cs="Times New Roman" w:eastAsia="Times New Roman" w:hAnsi="Times New Roman"/>
                <w:sz w:val="23"/>
                <w:szCs w:val="23"/>
                <w:color w:val="auto"/>
                <w:vertAlign w:val="superscript"/>
              </w:rPr>
              <w:t>(j)</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53,139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59,095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334,565</w:t>
            </w: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Domestic expenses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926,760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1,137,537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1,596,357</w:t>
            </w: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670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Fixed expense</w:t>
            </w:r>
            <w:r>
              <w:rPr>
                <w:rFonts w:ascii="Times New Roman" w:cs="Times New Roman" w:eastAsia="Times New Roman" w:hAnsi="Times New Roman"/>
                <w:sz w:val="23"/>
                <w:szCs w:val="23"/>
                <w:color w:val="auto"/>
                <w:vertAlign w:val="superscript"/>
              </w:rPr>
              <w:t>(h)</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46,064</w:t>
            </w:r>
          </w:p>
        </w:tc>
      </w:tr>
      <w:tr>
        <w:trPr>
          <w:trHeight w:val="230"/>
        </w:trPr>
        <w:tc>
          <w:tcPr>
            <w:tcW w:w="6700" w:type="dxa"/>
            <w:vAlign w:val="bottom"/>
            <w:tcBorders>
              <w:bottom w:val="single" w:sz="8" w:color="CCEEFF"/>
            </w:tcBorders>
          </w:tcPr>
          <w:p>
            <w:pPr>
              <w:ind w:left="240"/>
              <w:spacing w:after="0" w:line="230"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3"/>
                <w:szCs w:val="23"/>
                <w:color w:val="auto"/>
                <w:vertAlign w:val="superscript"/>
              </w:rPr>
              <w:t>(k)</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61,644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54,311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55,455</w:t>
            </w: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International expenses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113,037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102,733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101,519</w:t>
            </w:r>
          </w:p>
        </w:tc>
      </w:tr>
      <w:tr>
        <w:trPr>
          <w:trHeight w:val="223"/>
        </w:trPr>
        <w:tc>
          <w:tcPr>
            <w:tcW w:w="6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Angi expenses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1,039,797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1,240,270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1,697,876</w:t>
            </w: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62"/>
        </w:trPr>
        <w:tc>
          <w:tcPr>
            <w:tcW w:w="67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Care.com</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6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 of revenue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79,167</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88,806</w:t>
            </w:r>
          </w:p>
        </w:tc>
      </w:tr>
      <w:tr>
        <w:trPr>
          <w:trHeight w:val="230"/>
        </w:trPr>
        <w:tc>
          <w:tcPr>
            <w:tcW w:w="6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Selling and marketing expense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108,840</w:t>
            </w:r>
          </w:p>
        </w:tc>
      </w:tr>
      <w:tr>
        <w:trPr>
          <w:trHeight w:val="229"/>
        </w:trPr>
        <w:tc>
          <w:tcPr>
            <w:tcW w:w="6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57,788</w:t>
            </w:r>
          </w:p>
        </w:tc>
      </w:tr>
      <w:tr>
        <w:trPr>
          <w:trHeight w:val="230"/>
        </w:trPr>
        <w:tc>
          <w:tcPr>
            <w:tcW w:w="67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Product development expense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54,514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58,194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60,237</w:t>
            </w:r>
          </w:p>
        </w:tc>
      </w:tr>
      <w:tr>
        <w:trPr>
          <w:trHeight w:val="248"/>
        </w:trPr>
        <w:tc>
          <w:tcPr>
            <w:tcW w:w="67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Care.com expenses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324,439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318,834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315,671</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41"/>
        </w:trPr>
        <w:tc>
          <w:tcPr>
            <w:tcW w:w="6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Search</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670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Traffic acquisition costs and online marketing</w:t>
            </w:r>
            <w:r>
              <w:rPr>
                <w:rFonts w:ascii="Times New Roman" w:cs="Times New Roman" w:eastAsia="Times New Roman" w:hAnsi="Times New Roman"/>
                <w:sz w:val="23"/>
                <w:szCs w:val="23"/>
                <w:color w:val="auto"/>
                <w:vertAlign w:val="superscript"/>
              </w:rPr>
              <w:t>(l)</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328,573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536,099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596,080</w:t>
            </w:r>
          </w:p>
        </w:tc>
      </w:tr>
      <w:tr>
        <w:trPr>
          <w:trHeight w:val="230"/>
        </w:trPr>
        <w:tc>
          <w:tcPr>
            <w:tcW w:w="670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3"/>
                <w:szCs w:val="23"/>
                <w:color w:val="auto"/>
                <w:vertAlign w:val="superscript"/>
              </w:rPr>
              <w:t>(m)</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41,616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48,656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51,865</w:t>
            </w:r>
          </w:p>
        </w:tc>
      </w:tr>
      <w:tr>
        <w:trPr>
          <w:trHeight w:val="223"/>
        </w:trPr>
        <w:tc>
          <w:tcPr>
            <w:tcW w:w="6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Search expenses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370,189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584,755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647,945</w:t>
            </w:r>
          </w:p>
        </w:tc>
      </w:tr>
      <w:tr>
        <w:trPr>
          <w:trHeight w:val="21"/>
        </w:trPr>
        <w:tc>
          <w:tcPr>
            <w:tcW w:w="6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13" w:lineRule="exact"/>
        <w:rPr>
          <w:sz w:val="20"/>
          <w:szCs w:val="20"/>
          <w:color w:val="auto"/>
        </w:rPr>
      </w:pPr>
    </w:p>
    <w:p>
      <w:pPr>
        <w:ind w:left="580" w:hanging="248"/>
        <w:spacing w:after="0"/>
        <w:tabs>
          <w:tab w:leader="none" w:pos="580" w:val="left"/>
        </w:tabs>
        <w:numPr>
          <w:ilvl w:val="0"/>
          <w:numId w:val="6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Other comprises unallocated corporate expenses.</w:t>
      </w:r>
    </w:p>
    <w:p>
      <w:pPr>
        <w:sectPr>
          <w:pgSz w:w="11900" w:h="16838" w:orient="portrait"/>
          <w:cols w:equalWidth="0" w:num="1">
            <w:col w:w="11220"/>
          </w:cols>
          <w:pgMar w:left="320" w:top="118" w:right="359" w:bottom="108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082" w:gutter="0" w:footer="0" w:header="0"/>
          <w:type w:val="continuous"/>
        </w:sectPr>
      </w:pPr>
    </w:p>
    <w:bookmarkStart w:id="131" w:name="page132"/>
    <w:bookmarkEnd w:id="1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IAC INC. AND SUBSIDIARIES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60" w:right="320" w:hanging="328"/>
        <w:spacing w:after="0" w:line="221" w:lineRule="auto"/>
        <w:tabs>
          <w:tab w:leader="none" w:pos="589" w:val="left"/>
        </w:tabs>
        <w:numPr>
          <w:ilvl w:val="0"/>
          <w:numId w:val="6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certain lease impairment and restructuring charges for the years ended December 31, 2023 and 2022. See “Segment Reporting Performance Measure and Reconciliations” below for additional information.</w:t>
      </w:r>
    </w:p>
    <w:p>
      <w:pPr>
        <w:spacing w:after="0" w:line="204" w:lineRule="exact"/>
        <w:rPr>
          <w:rFonts w:ascii="Times New Roman" w:cs="Times New Roman" w:eastAsia="Times New Roman" w:hAnsi="Times New Roman"/>
          <w:sz w:val="19"/>
          <w:szCs w:val="19"/>
          <w:color w:val="auto"/>
          <w:vertAlign w:val="superscript"/>
        </w:rPr>
      </w:pPr>
    </w:p>
    <w:p>
      <w:pPr>
        <w:ind w:left="580" w:hanging="248"/>
        <w:spacing w:after="0"/>
        <w:tabs>
          <w:tab w:leader="none" w:pos="580" w:val="left"/>
        </w:tabs>
        <w:numPr>
          <w:ilvl w:val="0"/>
          <w:numId w:val="6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Angi Domestic expenses are provided in total to the CODM rather than at the segment level.</w:t>
      </w:r>
    </w:p>
    <w:p>
      <w:pPr>
        <w:spacing w:after="0" w:line="230" w:lineRule="exact"/>
        <w:rPr>
          <w:rFonts w:ascii="Times New Roman" w:cs="Times New Roman" w:eastAsia="Times New Roman" w:hAnsi="Times New Roman"/>
          <w:sz w:val="9"/>
          <w:szCs w:val="9"/>
          <w:color w:val="auto"/>
        </w:rPr>
      </w:pPr>
    </w:p>
    <w:p>
      <w:pPr>
        <w:jc w:val="right"/>
        <w:ind w:left="660" w:right="40" w:hanging="328"/>
        <w:spacing w:after="0" w:line="239" w:lineRule="auto"/>
        <w:tabs>
          <w:tab w:leader="none" w:pos="609" w:val="left"/>
        </w:tabs>
        <w:numPr>
          <w:ilvl w:val="0"/>
          <w:numId w:val="6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Consumer marketing expense includes (i) advertising expenditures to promote the brand to consumers with (a) online marketing, including fees paid to search engines and other online marketing platforms, partners who direct traffic to the brands within the Angi segment, and app platforms, and (b) offline marketing, which is primarily television, streaming and radio advertising, (ii) compensation expense, excluding stock-based compensation, and other employee-related costs for consumer marketing personnel and (iii) outsourced personnel costs.</w:t>
      </w:r>
    </w:p>
    <w:p>
      <w:pPr>
        <w:spacing w:after="0" w:line="190" w:lineRule="exact"/>
        <w:rPr>
          <w:rFonts w:ascii="Times New Roman" w:cs="Times New Roman" w:eastAsia="Times New Roman" w:hAnsi="Times New Roman"/>
          <w:sz w:val="19"/>
          <w:szCs w:val="19"/>
          <w:color w:val="auto"/>
          <w:vertAlign w:val="superscript"/>
        </w:rPr>
      </w:pPr>
    </w:p>
    <w:p>
      <w:pPr>
        <w:ind w:left="660" w:hanging="328"/>
        <w:spacing w:after="0" w:line="281" w:lineRule="auto"/>
        <w:tabs>
          <w:tab w:leader="none" w:pos="625" w:val="left"/>
        </w:tabs>
        <w:numPr>
          <w:ilvl w:val="0"/>
          <w:numId w:val="6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Professional acquisition expense includes (i) advertising expenditures to promote the brand to professionals with (a) online marketing, including fees paid to search engines and other online marketing platforms, partners who direct traffic to the brands within the Angi segment, and app platforms, and (b) offline marketing, which is primarily television, streaming and radio advertising and (ii) compensation expense, excluding stock-based compensation, and other employee-related costs for professional acquisition sales and marketing personnel.</w:t>
      </w:r>
    </w:p>
    <w:p>
      <w:pPr>
        <w:spacing w:after="0" w:line="177" w:lineRule="exact"/>
        <w:rPr>
          <w:rFonts w:ascii="Times New Roman" w:cs="Times New Roman" w:eastAsia="Times New Roman" w:hAnsi="Times New Roman"/>
          <w:sz w:val="9"/>
          <w:szCs w:val="9"/>
          <w:color w:val="auto"/>
        </w:rPr>
      </w:pPr>
    </w:p>
    <w:p>
      <w:pPr>
        <w:ind w:left="660" w:right="20" w:hanging="328"/>
        <w:spacing w:after="0" w:line="239" w:lineRule="auto"/>
        <w:tabs>
          <w:tab w:leader="none" w:pos="625" w:val="left"/>
        </w:tabs>
        <w:numPr>
          <w:ilvl w:val="0"/>
          <w:numId w:val="6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Fixed expense includes (i) compensation expense, excluding stock-based compensation, and other employee-related costs for personnel engaged in (a) the design, development, testing, and enhancement of product offerings and related technology and (b) executive management, finance, legal, tax, marketing and human resources functions, (ii) software license and maintenance costs, (iii) rent expense and facilities costs (including impairments of ROU assets), (iv) fees for professional services and (iv) outsourced personnel costs for personnel engaged in product development.</w:t>
      </w:r>
    </w:p>
    <w:p>
      <w:pPr>
        <w:spacing w:after="0" w:line="205" w:lineRule="exact"/>
        <w:rPr>
          <w:rFonts w:ascii="Times New Roman" w:cs="Times New Roman" w:eastAsia="Times New Roman" w:hAnsi="Times New Roman"/>
          <w:sz w:val="19"/>
          <w:szCs w:val="19"/>
          <w:color w:val="auto"/>
          <w:vertAlign w:val="superscript"/>
        </w:rPr>
      </w:pPr>
    </w:p>
    <w:p>
      <w:pPr>
        <w:ind w:left="660" w:right="200" w:hanging="328"/>
        <w:spacing w:after="0" w:line="230" w:lineRule="auto"/>
        <w:tabs>
          <w:tab w:leader="none" w:pos="601" w:val="left"/>
        </w:tabs>
        <w:numPr>
          <w:ilvl w:val="0"/>
          <w:numId w:val="6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Variable expense includes (i) compensation expense, excluding stock-based compensation, and other employee-related costs for personnel engaged in customer service functions, (ii) provision for credit losses, (iii) outsourced personnel costs for personnel engaged in assisting in customer service functions and (iv) service guarantee expense.</w:t>
      </w:r>
    </w:p>
    <w:p>
      <w:pPr>
        <w:spacing w:after="0" w:line="173" w:lineRule="exact"/>
        <w:rPr>
          <w:rFonts w:ascii="Times New Roman" w:cs="Times New Roman" w:eastAsia="Times New Roman" w:hAnsi="Times New Roman"/>
          <w:sz w:val="19"/>
          <w:szCs w:val="19"/>
          <w:color w:val="auto"/>
          <w:vertAlign w:val="superscript"/>
        </w:rPr>
      </w:pPr>
    </w:p>
    <w:p>
      <w:pPr>
        <w:ind w:left="600" w:hanging="268"/>
        <w:spacing w:after="0"/>
        <w:tabs>
          <w:tab w:leader="none" w:pos="600" w:val="left"/>
        </w:tabs>
        <w:numPr>
          <w:ilvl w:val="0"/>
          <w:numId w:val="6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Cost of revenue consists primarily of (i) credit card processing fees, (ii) hosting fees and (iii) payments made to independent third-party professionals who perform work.</w:t>
      </w:r>
    </w:p>
    <w:p>
      <w:pPr>
        <w:spacing w:after="0" w:line="189" w:lineRule="exact"/>
        <w:rPr>
          <w:rFonts w:ascii="Times New Roman" w:cs="Times New Roman" w:eastAsia="Times New Roman" w:hAnsi="Times New Roman"/>
          <w:sz w:val="19"/>
          <w:szCs w:val="19"/>
          <w:color w:val="auto"/>
          <w:vertAlign w:val="superscript"/>
        </w:rPr>
      </w:pPr>
    </w:p>
    <w:p>
      <w:pPr>
        <w:ind w:left="580" w:hanging="248"/>
        <w:spacing w:after="0"/>
        <w:tabs>
          <w:tab w:leader="none" w:pos="580" w:val="left"/>
        </w:tabs>
        <w:numPr>
          <w:ilvl w:val="0"/>
          <w:numId w:val="6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Angi International other segment items include cost of revenue, consumer marketing expense, professional marketing expense, provision for credit losses and other operating expenses.</w:t>
      </w:r>
    </w:p>
    <w:p>
      <w:pPr>
        <w:spacing w:after="0" w:line="230" w:lineRule="exact"/>
        <w:rPr>
          <w:rFonts w:ascii="Times New Roman" w:cs="Times New Roman" w:eastAsia="Times New Roman" w:hAnsi="Times New Roman"/>
          <w:sz w:val="9"/>
          <w:szCs w:val="9"/>
          <w:color w:val="auto"/>
        </w:rPr>
      </w:pPr>
    </w:p>
    <w:p>
      <w:pPr>
        <w:ind w:left="660" w:right="160" w:hanging="328"/>
        <w:spacing w:after="0" w:line="239" w:lineRule="auto"/>
        <w:tabs>
          <w:tab w:leader="none" w:pos="565" w:val="left"/>
        </w:tabs>
        <w:numPr>
          <w:ilvl w:val="0"/>
          <w:numId w:val="6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Traffic acquisition costs include (i) payments made to partners who direct traffic to our Ask Media Group websites and who distribute our business-to-business customized browser-based applications and (ii) the amortization of fees paid to Apple and Google related to the distribution of apps and the facilitation of in-app purchases and online marketing includes fees paid to search engines and other online marketing platforms.</w:t>
      </w:r>
    </w:p>
    <w:p>
      <w:pPr>
        <w:spacing w:after="0" w:line="174" w:lineRule="exact"/>
        <w:rPr>
          <w:rFonts w:ascii="Times New Roman" w:cs="Times New Roman" w:eastAsia="Times New Roman" w:hAnsi="Times New Roman"/>
          <w:sz w:val="19"/>
          <w:szCs w:val="19"/>
          <w:color w:val="auto"/>
          <w:vertAlign w:val="superscript"/>
        </w:rPr>
      </w:pPr>
    </w:p>
    <w:p>
      <w:pPr>
        <w:ind w:left="620" w:hanging="288"/>
        <w:spacing w:after="0"/>
        <w:tabs>
          <w:tab w:leader="none" w:pos="620" w:val="left"/>
        </w:tabs>
        <w:numPr>
          <w:ilvl w:val="0"/>
          <w:numId w:val="6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Search other segment items include compensation expense, excluding stock-based compensation, and other operating expenses.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IAC INC. AND SUBSIDIARIES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Segment Reporting Performance Measure and Reconciliations</w:t>
      </w:r>
    </w:p>
    <w:p>
      <w:pPr>
        <w:spacing w:after="0" w:line="229" w:lineRule="exact"/>
        <w:rPr>
          <w:sz w:val="20"/>
          <w:szCs w:val="20"/>
          <w:color w:val="auto"/>
        </w:rPr>
      </w:pPr>
    </w:p>
    <w:p>
      <w:pPr>
        <w:ind w:right="20" w:firstLine="405"/>
        <w:spacing w:after="0" w:line="269" w:lineRule="auto"/>
        <w:rPr>
          <w:sz w:val="20"/>
          <w:szCs w:val="20"/>
          <w:color w:val="auto"/>
        </w:rPr>
      </w:pPr>
      <w:r>
        <w:rPr>
          <w:rFonts w:ascii="Times New Roman" w:cs="Times New Roman" w:eastAsia="Times New Roman" w:hAnsi="Times New Roman"/>
          <w:sz w:val="17"/>
          <w:szCs w:val="17"/>
          <w:color w:val="auto"/>
        </w:rPr>
        <w:t>Adjusted EBITDA is the Company's primary financial and GAAP segment measure. Adjusted EBITDA is defined as operating income excluding: (1) stock-based compensation expense; (2) depreciation; and (3) acquisition-related items consisting of, if applicable, (i) amortization of intangible assets and impairments of goodwill and intangible assets and (ii) gains and losses recognized on changes in the fair value of contingent consideration arrangements. Adjusted EBITDA is the segment reporting performance measure used by the CODM as one of the metrics by which we evaluate the performance of our businesses and our internal budgets are based and may impact management compensation. The following table presents a summary of Segment Adjusted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EBITDA:</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6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6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Adjusted EBITDA:</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Dotdash Meredith</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Digital</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289,393</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186,696</w:t>
            </w:r>
          </w:p>
        </w:tc>
      </w:tr>
      <w:tr>
        <w:trPr>
          <w:trHeight w:val="229"/>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53,793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31,135</w:t>
            </w:r>
          </w:p>
        </w:tc>
      </w:tr>
      <w:tr>
        <w:trPr>
          <w:trHeight w:val="230"/>
        </w:trPr>
        <w:tc>
          <w:tcPr>
            <w:tcW w:w="670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(c)</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(47,766)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(84,438)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(65,682)</w:t>
            </w:r>
          </w:p>
        </w:tc>
      </w:tr>
      <w:tr>
        <w:trPr>
          <w:trHeight w:val="223"/>
        </w:trPr>
        <w:tc>
          <w:tcPr>
            <w:tcW w:w="670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Total Dotdash Meredith</w:t>
            </w:r>
            <w:r>
              <w:rPr>
                <w:rFonts w:ascii="Times New Roman" w:cs="Times New Roman" w:eastAsia="Times New Roman" w:hAnsi="Times New Roman"/>
                <w:sz w:val="23"/>
                <w:szCs w:val="23"/>
                <w:color w:val="auto"/>
                <w:vertAlign w:val="superscript"/>
              </w:rPr>
              <w:t>(n)(o)</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295,420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222,757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152,149</w:t>
            </w: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Angi</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Domestic:</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6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Ads and Leads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168,952</w:t>
            </w:r>
          </w:p>
        </w:tc>
      </w:tr>
      <w:tr>
        <w:trPr>
          <w:trHeight w:val="229"/>
        </w:trPr>
        <w:tc>
          <w:tcPr>
            <w:tcW w:w="6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Services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(52,126)</w:t>
            </w:r>
          </w:p>
        </w:tc>
      </w:tr>
      <w:tr>
        <w:trPr>
          <w:trHeight w:val="230"/>
        </w:trPr>
        <w:tc>
          <w:tcPr>
            <w:tcW w:w="670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(c)</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(55,441)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(50,076)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(49,866)</w:t>
            </w:r>
          </w:p>
        </w:tc>
      </w:tr>
      <w:tr>
        <w:trPr>
          <w:trHeight w:val="223"/>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Domestic</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129,362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66,960</w:t>
            </w:r>
          </w:p>
        </w:tc>
      </w:tr>
      <w:tr>
        <w:trPr>
          <w:trHeight w:val="229"/>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International</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Angi</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66,479</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Care.com</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46,899</w:t>
            </w: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Search</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83,486</w:t>
            </w: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Emerging &amp; 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(35,995)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(69,942)</w:t>
            </w:r>
          </w:p>
        </w:tc>
      </w:tr>
      <w:tr>
        <w:trPr>
          <w:trHeight w:val="223"/>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Segment Adjusted EBITDA</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467,431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427,357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279,071</w:t>
            </w:r>
          </w:p>
        </w:tc>
      </w:tr>
      <w:tr>
        <w:trPr>
          <w:trHeight w:val="20"/>
        </w:trPr>
        <w:tc>
          <w:tcPr>
            <w:tcW w:w="6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221" w:lineRule="exact"/>
        <w:rPr>
          <w:sz w:val="20"/>
          <w:szCs w:val="20"/>
          <w:color w:val="auto"/>
        </w:rPr>
      </w:pPr>
    </w:p>
    <w:p>
      <w:pPr>
        <w:ind w:left="660" w:right="260" w:hanging="247"/>
        <w:spacing w:after="0" w:line="221" w:lineRule="auto"/>
        <w:tabs>
          <w:tab w:leader="none" w:pos="667" w:val="left"/>
        </w:tabs>
        <w:numPr>
          <w:ilvl w:val="0"/>
          <w:numId w:val="6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year ended December 31, 2023 includes impairment charges of $44.7 million related to unoccupied leased office space at Dotdash Meredith Other. See “</w:t>
      </w:r>
      <w:r>
        <w:rPr>
          <w:rFonts w:ascii="Times New Roman" w:cs="Times New Roman" w:eastAsia="Times New Roman" w:hAnsi="Times New Roman"/>
          <w:sz w:val="14"/>
          <w:szCs w:val="14"/>
          <w:u w:val="single" w:color="auto"/>
          <w:color w:val="0000FF"/>
        </w:rPr>
        <w:t>Note 2—Summary of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FF"/>
        </w:rPr>
        <w:t>Significant Accounting Policies</w:t>
      </w:r>
      <w:r>
        <w:rPr>
          <w:rFonts w:ascii="Times New Roman" w:cs="Times New Roman" w:eastAsia="Times New Roman" w:hAnsi="Times New Roman"/>
          <w:sz w:val="14"/>
          <w:szCs w:val="14"/>
          <w:color w:val="000000"/>
        </w:rPr>
        <w:t>” for additional information.</w:t>
      </w:r>
    </w:p>
    <w:p>
      <w:pPr>
        <w:spacing w:after="0" w:line="96" w:lineRule="exact"/>
        <w:rPr>
          <w:rFonts w:ascii="Times New Roman" w:cs="Times New Roman" w:eastAsia="Times New Roman" w:hAnsi="Times New Roman"/>
          <w:sz w:val="19"/>
          <w:szCs w:val="19"/>
          <w:color w:val="auto"/>
          <w:vertAlign w:val="superscript"/>
        </w:rPr>
      </w:pPr>
    </w:p>
    <w:p>
      <w:pPr>
        <w:jc w:val="both"/>
        <w:ind w:left="660" w:right="340" w:hanging="247"/>
        <w:spacing w:after="0" w:line="281" w:lineRule="auto"/>
        <w:tabs>
          <w:tab w:leader="none" w:pos="667" w:val="left"/>
        </w:tabs>
        <w:numPr>
          <w:ilvl w:val="0"/>
          <w:numId w:val="6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year ended December 31, 2022 includes $32.2 million, $33.4 million and $7.6 million of restructuring charges and $1.1 million, $1.4 million and $4.7 million of transaction-related expenses in connection with the 2021 acquisition of Meredith at Dotdash Meredith Digital, Print and Other, respectively. See “</w:t>
      </w:r>
      <w:r>
        <w:rPr>
          <w:rFonts w:ascii="Times New Roman" w:cs="Times New Roman" w:eastAsia="Times New Roman" w:hAnsi="Times New Roman"/>
          <w:sz w:val="14"/>
          <w:szCs w:val="14"/>
          <w:u w:val="single" w:color="auto"/>
          <w:color w:val="0000FF"/>
        </w:rPr>
        <w:t>Note 17—Dotdash Meredith Restructuring</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FF"/>
        </w:rPr>
        <w:t>Charges, Transaction-Related Expenses and Change-in-Control Payments</w:t>
      </w:r>
      <w:r>
        <w:rPr>
          <w:rFonts w:ascii="Times New Roman" w:cs="Times New Roman" w:eastAsia="Times New Roman" w:hAnsi="Times New Roman"/>
          <w:sz w:val="14"/>
          <w:szCs w:val="14"/>
          <w:color w:val="000000"/>
        </w:rPr>
        <w:t>”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IAC INC. AND SUBSIDIARIES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reconciles total Segment Adjusted EBITDA to (loss) earnings from continuing operations before income taxes: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64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640" w:type="dxa"/>
            <w:vAlign w:val="bottom"/>
          </w:tcPr>
          <w:p>
            <w:pPr>
              <w:spacing w:after="0"/>
              <w:rPr>
                <w:sz w:val="2"/>
                <w:szCs w:val="2"/>
                <w:color w:val="auto"/>
              </w:rPr>
            </w:pPr>
          </w:p>
        </w:tc>
        <w:tc>
          <w:tcPr>
            <w:tcW w:w="50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64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96"/>
        </w:trPr>
        <w:tc>
          <w:tcPr>
            <w:tcW w:w="164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Adjusted EBITDA</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467,431</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427,357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279,071</w:t>
            </w:r>
          </w:p>
        </w:tc>
        <w:tc>
          <w:tcPr>
            <w:tcW w:w="0" w:type="dxa"/>
            <w:vAlign w:val="bottom"/>
          </w:tcPr>
          <w:p>
            <w:pPr>
              <w:spacing w:after="0"/>
              <w:rPr>
                <w:sz w:val="1"/>
                <w:szCs w:val="1"/>
                <w:color w:val="auto"/>
              </w:rPr>
            </w:pPr>
          </w:p>
        </w:tc>
      </w:tr>
      <w:tr>
        <w:trPr>
          <w:trHeight w:val="230"/>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Corporate Adjusted EBITDA loss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(87,742)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(79,521)</w:t>
            </w: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(123,476)</w:t>
            </w:r>
          </w:p>
        </w:tc>
        <w:tc>
          <w:tcPr>
            <w:tcW w:w="0" w:type="dxa"/>
            <w:vAlign w:val="bottom"/>
          </w:tcPr>
          <w:p>
            <w:pPr>
              <w:spacing w:after="0"/>
              <w:rPr>
                <w:sz w:val="1"/>
                <w:szCs w:val="1"/>
                <w:color w:val="auto"/>
              </w:rPr>
            </w:pPr>
          </w:p>
        </w:tc>
      </w:tr>
      <w:tr>
        <w:trPr>
          <w:trHeight w:val="229"/>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(175,096)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(130,986)</w:t>
            </w:r>
          </w:p>
        </w:tc>
        <w:tc>
          <w:tcPr>
            <w:tcW w:w="0" w:type="dxa"/>
            <w:vAlign w:val="bottom"/>
          </w:tcPr>
          <w:p>
            <w:pPr>
              <w:spacing w:after="0"/>
              <w:rPr>
                <w:sz w:val="1"/>
                <w:szCs w:val="1"/>
                <w:color w:val="auto"/>
              </w:rPr>
            </w:pPr>
          </w:p>
        </w:tc>
      </w:tr>
      <w:tr>
        <w:trPr>
          <w:trHeight w:val="230"/>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(295,970)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(307,718)</w:t>
            </w:r>
          </w:p>
        </w:tc>
        <w:tc>
          <w:tcPr>
            <w:tcW w:w="0" w:type="dxa"/>
            <w:vAlign w:val="bottom"/>
          </w:tcPr>
          <w:p>
            <w:pPr>
              <w:spacing w:after="0"/>
              <w:rPr>
                <w:sz w:val="1"/>
                <w:szCs w:val="1"/>
                <w:color w:val="auto"/>
              </w:rPr>
            </w:pPr>
          </w:p>
        </w:tc>
      </w:tr>
      <w:tr>
        <w:trPr>
          <w:trHeight w:val="229"/>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Acquisition-related contingent consideration fair value adjustments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0" w:type="dxa"/>
            <w:vAlign w:val="bottom"/>
          </w:tcPr>
          <w:p>
            <w:pPr>
              <w:spacing w:after="0"/>
              <w:rPr>
                <w:sz w:val="1"/>
                <w:szCs w:val="1"/>
                <w:color w:val="auto"/>
              </w:rPr>
            </w:pPr>
          </w:p>
        </w:tc>
      </w:tr>
      <w:tr>
        <w:trPr>
          <w:trHeight w:val="230"/>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(112,753)</w:t>
            </w:r>
          </w:p>
        </w:tc>
        <w:tc>
          <w:tcPr>
            <w:tcW w:w="0" w:type="dxa"/>
            <w:vAlign w:val="bottom"/>
          </w:tcPr>
          <w:p>
            <w:pPr>
              <w:spacing w:after="0"/>
              <w:rPr>
                <w:sz w:val="1"/>
                <w:szCs w:val="1"/>
                <w:color w:val="auto"/>
              </w:rPr>
            </w:pPr>
          </w:p>
        </w:tc>
      </w:tr>
      <w:tr>
        <w:trPr>
          <w:trHeight w:val="229"/>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(110,165)</w:t>
            </w: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(loss) gain on investment in MGM Resorts International</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(649,178)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721,668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(723,515)</w:t>
            </w:r>
          </w:p>
        </w:tc>
        <w:tc>
          <w:tcPr>
            <w:tcW w:w="0" w:type="dxa"/>
            <w:vAlign w:val="bottom"/>
          </w:tcPr>
          <w:p>
            <w:pPr>
              <w:spacing w:after="0"/>
              <w:rPr>
                <w:sz w:val="1"/>
                <w:szCs w:val="1"/>
                <w:color w:val="auto"/>
              </w:rPr>
            </w:pPr>
          </w:p>
        </w:tc>
      </w:tr>
      <w:tr>
        <w:trPr>
          <w:trHeight w:val="230"/>
        </w:trPr>
        <w:tc>
          <w:tcPr>
            <w:tcW w:w="67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116,897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63,862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(217,785)</w:t>
            </w:r>
          </w:p>
        </w:tc>
        <w:tc>
          <w:tcPr>
            <w:tcW w:w="0" w:type="dxa"/>
            <w:vAlign w:val="bottom"/>
          </w:tcPr>
          <w:p>
            <w:pPr>
              <w:spacing w:after="0"/>
              <w:rPr>
                <w:sz w:val="1"/>
                <w:szCs w:val="1"/>
                <w:color w:val="auto"/>
              </w:rPr>
            </w:pPr>
          </w:p>
        </w:tc>
      </w:tr>
      <w:tr>
        <w:trPr>
          <w:trHeight w:val="248"/>
        </w:trPr>
        <w:tc>
          <w:tcPr>
            <w:tcW w:w="67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(Loss) earnings from continuing operations before income taxes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(692,399)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367,135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(1,526,236)</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670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40" w:type="dxa"/>
            <w:vAlign w:val="bottom"/>
            <w:shd w:val="clear" w:color="auto" w:fill="000000"/>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7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The following table presents capital expenditures as viewed by the CODM:</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164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1640" w:type="dxa"/>
            <w:vAlign w:val="bottom"/>
          </w:tcPr>
          <w:p>
            <w:pPr>
              <w:spacing w:after="0"/>
              <w:rPr>
                <w:sz w:val="2"/>
                <w:szCs w:val="2"/>
                <w:color w:val="auto"/>
              </w:rPr>
            </w:pPr>
          </w:p>
        </w:tc>
        <w:tc>
          <w:tcPr>
            <w:tcW w:w="50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64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96"/>
        </w:trPr>
        <w:tc>
          <w:tcPr>
            <w:tcW w:w="164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Dotdash Meredith</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12,885</w:t>
            </w:r>
          </w:p>
        </w:tc>
        <w:tc>
          <w:tcPr>
            <w:tcW w:w="0" w:type="dxa"/>
            <w:vAlign w:val="bottom"/>
          </w:tcPr>
          <w:p>
            <w:pPr>
              <w:spacing w:after="0"/>
              <w:rPr>
                <w:sz w:val="1"/>
                <w:szCs w:val="1"/>
                <w:color w:val="auto"/>
              </w:rPr>
            </w:pPr>
          </w:p>
        </w:tc>
      </w:tr>
      <w:tr>
        <w:trPr>
          <w:trHeight w:val="230"/>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Angi</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115,479</w:t>
            </w:r>
          </w:p>
        </w:tc>
        <w:tc>
          <w:tcPr>
            <w:tcW w:w="0" w:type="dxa"/>
            <w:vAlign w:val="bottom"/>
          </w:tcPr>
          <w:p>
            <w:pPr>
              <w:spacing w:after="0"/>
              <w:rPr>
                <w:sz w:val="1"/>
                <w:szCs w:val="1"/>
                <w:color w:val="auto"/>
              </w:rPr>
            </w:pPr>
          </w:p>
        </w:tc>
      </w:tr>
      <w:tr>
        <w:trPr>
          <w:trHeight w:val="230"/>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Care.com</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9,911</w:t>
            </w:r>
          </w:p>
        </w:tc>
        <w:tc>
          <w:tcPr>
            <w:tcW w:w="0" w:type="dxa"/>
            <w:vAlign w:val="bottom"/>
          </w:tcPr>
          <w:p>
            <w:pPr>
              <w:spacing w:after="0"/>
              <w:rPr>
                <w:sz w:val="1"/>
                <w:szCs w:val="1"/>
                <w:color w:val="auto"/>
              </w:rPr>
            </w:pPr>
          </w:p>
        </w:tc>
      </w:tr>
      <w:tr>
        <w:trPr>
          <w:trHeight w:val="230"/>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Search</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9"/>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Emerging &amp; Other</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0" w:type="dxa"/>
            <w:vAlign w:val="bottom"/>
          </w:tcPr>
          <w:p>
            <w:pPr>
              <w:spacing w:after="0"/>
              <w:rPr>
                <w:sz w:val="1"/>
                <w:szCs w:val="1"/>
                <w:color w:val="auto"/>
              </w:rPr>
            </w:pPr>
          </w:p>
        </w:tc>
      </w:tr>
      <w:tr>
        <w:trPr>
          <w:trHeight w:val="230"/>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81,168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0" w:type="dxa"/>
            <w:vAlign w:val="bottom"/>
          </w:tcPr>
          <w:p>
            <w:pPr>
              <w:spacing w:after="0"/>
              <w:rPr>
                <w:sz w:val="1"/>
                <w:szCs w:val="1"/>
                <w:color w:val="auto"/>
              </w:rPr>
            </w:pPr>
          </w:p>
        </w:tc>
      </w:tr>
      <w:tr>
        <w:trPr>
          <w:trHeight w:val="223"/>
        </w:trPr>
        <w:tc>
          <w:tcPr>
            <w:tcW w:w="6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65,506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141,364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139,753</w:t>
            </w:r>
          </w:p>
        </w:tc>
        <w:tc>
          <w:tcPr>
            <w:tcW w:w="0" w:type="dxa"/>
            <w:vAlign w:val="bottom"/>
          </w:tcPr>
          <w:p>
            <w:pPr>
              <w:spacing w:after="0"/>
              <w:rPr>
                <w:sz w:val="1"/>
                <w:szCs w:val="1"/>
                <w:color w:val="auto"/>
              </w:rPr>
            </w:pPr>
          </w:p>
        </w:tc>
      </w:tr>
      <w:tr>
        <w:trPr>
          <w:trHeight w:val="21"/>
        </w:trPr>
        <w:tc>
          <w:tcPr>
            <w:tcW w:w="164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ind w:right="780" w:firstLine="405"/>
        <w:spacing w:after="0" w:line="282" w:lineRule="auto"/>
        <w:rPr>
          <w:sz w:val="20"/>
          <w:szCs w:val="20"/>
          <w:color w:val="auto"/>
        </w:rPr>
      </w:pPr>
      <w:r>
        <w:rPr>
          <w:rFonts w:ascii="Times New Roman" w:cs="Times New Roman" w:eastAsia="Times New Roman" w:hAnsi="Times New Roman"/>
          <w:sz w:val="18"/>
          <w:szCs w:val="18"/>
          <w:color w:val="auto"/>
        </w:rPr>
        <w:t>Asset information is not provided to the Company’s CODM as that information is not used in the allocation of resources or in assessing the performance of the Company’s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IAC INC. AND SUBSIDIARIES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Geographic Information</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Geographic information about revenue and long-lived assets is presented below. Revenue by geography is based on where the customer is located.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4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
        </w:trPr>
        <w:tc>
          <w:tcPr>
            <w:tcW w:w="6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90"/>
        </w:trPr>
        <w:tc>
          <w:tcPr>
            <w:tcW w:w="6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r>
      <w:tr>
        <w:trPr>
          <w:trHeight w:val="196"/>
        </w:trPr>
        <w:tc>
          <w:tcPr>
            <w:tcW w:w="6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29"/>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3,374,726</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3,798,229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4,720,504</w:t>
            </w:r>
          </w:p>
        </w:tc>
        <w:tc>
          <w:tcPr>
            <w:tcW w:w="20" w:type="dxa"/>
            <w:vAlign w:val="bottom"/>
          </w:tcPr>
          <w:p>
            <w:pPr>
              <w:spacing w:after="0"/>
              <w:rPr>
                <w:sz w:val="19"/>
                <w:szCs w:val="19"/>
                <w:color w:val="auto"/>
              </w:rPr>
            </w:pPr>
          </w:p>
        </w:tc>
      </w:tr>
      <w:tr>
        <w:trPr>
          <w:trHeight w:val="229"/>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All other countries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432,507</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567,006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514,776</w:t>
            </w:r>
          </w:p>
        </w:tc>
        <w:tc>
          <w:tcPr>
            <w:tcW w:w="20" w:type="dxa"/>
            <w:vAlign w:val="bottom"/>
          </w:tcPr>
          <w:p>
            <w:pPr>
              <w:spacing w:after="0"/>
              <w:rPr>
                <w:sz w:val="19"/>
                <w:szCs w:val="19"/>
                <w:color w:val="auto"/>
              </w:rPr>
            </w:pPr>
          </w:p>
        </w:tc>
      </w:tr>
      <w:tr>
        <w:trPr>
          <w:trHeight w:val="223"/>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3,807,233</w:t>
            </w:r>
          </w:p>
        </w:tc>
        <w:tc>
          <w:tcPr>
            <w:tcW w:w="100" w:type="dxa"/>
            <w:vAlign w:val="bottom"/>
          </w:tcPr>
          <w:p>
            <w:pPr>
              <w:spacing w:after="0"/>
              <w:rPr>
                <w:sz w:val="19"/>
                <w:szCs w:val="19"/>
                <w:color w:val="auto"/>
              </w:rPr>
            </w:pPr>
          </w:p>
        </w:tc>
        <w:tc>
          <w:tcPr>
            <w:tcW w:w="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4,365,235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Borders>
              <w:bottom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5,235,280</w:t>
            </w:r>
          </w:p>
        </w:tc>
        <w:tc>
          <w:tcPr>
            <w:tcW w:w="20" w:type="dxa"/>
            <w:vAlign w:val="bottom"/>
          </w:tcPr>
          <w:p>
            <w:pPr>
              <w:spacing w:after="0"/>
              <w:rPr>
                <w:sz w:val="19"/>
                <w:szCs w:val="19"/>
                <w:color w:val="auto"/>
              </w:rPr>
            </w:pPr>
          </w:p>
        </w:tc>
      </w:tr>
      <w:tr>
        <w:trPr>
          <w:trHeight w:val="21"/>
        </w:trPr>
        <w:tc>
          <w:tcPr>
            <w:tcW w:w="6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3"/>
        </w:trPr>
        <w:tc>
          <w:tcPr>
            <w:tcW w:w="6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40" w:type="dxa"/>
            <w:vAlign w:val="bottom"/>
            <w:gridSpan w:val="5"/>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
        </w:trPr>
        <w:tc>
          <w:tcPr>
            <w:tcW w:w="6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0"/>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auto"/>
            </w:tcBorders>
          </w:tcPr>
          <w:p>
            <w:pPr>
              <w:spacing w:after="0"/>
              <w:rPr>
                <w:sz w:val="16"/>
                <w:szCs w:val="16"/>
                <w:color w:val="auto"/>
              </w:rPr>
            </w:pPr>
          </w:p>
        </w:tc>
      </w:tr>
      <w:tr>
        <w:trPr>
          <w:trHeight w:val="196"/>
        </w:trPr>
        <w:tc>
          <w:tcPr>
            <w:tcW w:w="6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4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Long-lived assets (excluding goodwill and intangible assets):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r>
      <w:tr>
        <w:trPr>
          <w:trHeight w:val="229"/>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639,898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743,914</w:t>
            </w:r>
          </w:p>
        </w:tc>
        <w:tc>
          <w:tcPr>
            <w:tcW w:w="20" w:type="dxa"/>
            <w:vAlign w:val="bottom"/>
          </w:tcPr>
          <w:p>
            <w:pPr>
              <w:spacing w:after="0"/>
              <w:rPr>
                <w:sz w:val="19"/>
                <w:szCs w:val="19"/>
                <w:color w:val="auto"/>
              </w:rPr>
            </w:pPr>
          </w:p>
        </w:tc>
      </w:tr>
      <w:tr>
        <w:trPr>
          <w:trHeight w:val="229"/>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All other countries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8,040</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10,964</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gridSpan w:val="2"/>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647,938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754,878</w:t>
            </w:r>
          </w:p>
        </w:tc>
        <w:tc>
          <w:tcPr>
            <w:tcW w:w="20" w:type="dxa"/>
            <w:vAlign w:val="bottom"/>
            <w:tcBorders>
              <w:bottom w:val="single" w:sz="8" w:color="auto"/>
            </w:tcBorders>
          </w:tcPr>
          <w:p>
            <w:pPr>
              <w:spacing w:after="0"/>
              <w:rPr>
                <w:sz w:val="19"/>
                <w:szCs w:val="19"/>
                <w:color w:val="auto"/>
              </w:rPr>
            </w:pPr>
          </w:p>
        </w:tc>
      </w:tr>
      <w:tr>
        <w:trPr>
          <w:trHeight w:val="21"/>
        </w:trPr>
        <w:tc>
          <w:tcPr>
            <w:tcW w:w="6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10—STOCK-BASED COMPENSATION</w:t>
      </w:r>
    </w:p>
    <w:p>
      <w:pPr>
        <w:spacing w:after="0" w:line="229" w:lineRule="exact"/>
        <w:rPr>
          <w:sz w:val="20"/>
          <w:szCs w:val="20"/>
          <w:color w:val="auto"/>
        </w:rPr>
      </w:pPr>
    </w:p>
    <w:p>
      <w:pPr>
        <w:ind w:right="40" w:firstLine="405"/>
        <w:spacing w:after="0" w:line="253" w:lineRule="auto"/>
        <w:rPr>
          <w:sz w:val="20"/>
          <w:szCs w:val="20"/>
          <w:color w:val="auto"/>
        </w:rPr>
      </w:pPr>
      <w:r>
        <w:rPr>
          <w:rFonts w:ascii="Times New Roman" w:cs="Times New Roman" w:eastAsia="Times New Roman" w:hAnsi="Times New Roman"/>
          <w:sz w:val="18"/>
          <w:szCs w:val="18"/>
          <w:color w:val="auto"/>
        </w:rPr>
        <w:t>IAC currently has one active plan (the “Plan”) under which stock-based awards denominated in shares of or stock-based awards settleable in IAC common stock have been and may be granted. The Plan has a stated term of ten years. The Plan does not specify grant dates or vesting schedules of awards as those determinations have been delegated to the Compensation and Human Resources Committee of IAC's Board of Directors (the “Committee”). Each grant agreement reflects the vesting schedule for that grant as determined by the Committee. There are also outstanding stock-based awards that were granted under older plans that have since expired or been discontinued. The Plan provides for grants of stock options to acquire shares of IAC common stock (the exercise price of stock options granted will not be less than the market price of the Company's common stock on the grant date), RSUs denominated in shares of IAC common stock, including those that may be linked to the achievement of the Company's stock price, known as market-based awards (“MSUs”) and those that may be linked to the achievement of a performance target, known as performance-based awards (“PSUs”), restricted stock, as well as other equity awards, including those denominated or settleable in IAC shares. The Plan authorizes the Company to grant awards to its employees, officers, directors and consultants. At December 31, 2024, there are 29.9 million IAC common shares of stock reserved for future issuance under this plan.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IAC Denominated Stock-based Awards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IAC Restricted Common Stock</w:t>
      </w:r>
    </w:p>
    <w:p>
      <w:pPr>
        <w:spacing w:after="0" w:line="227" w:lineRule="exact"/>
        <w:rPr>
          <w:sz w:val="20"/>
          <w:szCs w:val="20"/>
          <w:color w:val="auto"/>
        </w:rPr>
      </w:pPr>
    </w:p>
    <w:p>
      <w:pPr>
        <w:ind w:right="120" w:firstLine="405"/>
        <w:spacing w:after="0" w:line="312" w:lineRule="auto"/>
        <w:rPr>
          <w:sz w:val="20"/>
          <w:szCs w:val="20"/>
          <w:color w:val="auto"/>
        </w:rPr>
      </w:pPr>
      <w:r>
        <w:rPr>
          <w:rFonts w:ascii="Times New Roman" w:cs="Times New Roman" w:eastAsia="Times New Roman" w:hAnsi="Times New Roman"/>
          <w:sz w:val="17"/>
          <w:szCs w:val="17"/>
          <w:color w:val="auto"/>
        </w:rPr>
        <w:t>On November 5, 2020, the Company entered into a ten-year employment agreement and a Restricted Stock Agreement (the “RSA Agreement”) with Joseph Levin, IAC's Chief Executive Officer (“CEO”). The RSA Agreement provided for a grant of 3.0 million shares of IAC restricted common stock.</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IAC INC. AND SUBSIDIARIES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On January 13, 2025, the Company and Mr. Levin entered into an Employment Transition Agreement (the “Agreement”) pursuant to which the Employment Agreement, by and between Mr. Levin and the Company, dated November 5, 2020 (“Employment Agreement”), and the Amended and Restated RSA, dated June 7, 2021 were terminated, except as provided in Section 6 of the RSA Agreement. As a result, the 3.0 million shares of IAC restricted stock granted to Mr. Levin pursuant to the RSA Agreement were forfeited by Mr. Levin. Accordingly, the cumulative previously recognized stock-based compensation expense of $60.0 million recognized by the Company with respect to the restricted stock will be reversed in the quarter ending March 31, 2025. Of the $60.0 million of stock-based compensation expense that will be reversed, $10.2 million was recognized by Angi as it was attributable to the period from October 10, 2022 through April 8, 2024 when Mr. Levin served as CEO of Angi.</w:t>
      </w:r>
    </w:p>
    <w:p>
      <w:pPr>
        <w:spacing w:after="0" w:line="189" w:lineRule="exact"/>
        <w:rPr>
          <w:sz w:val="20"/>
          <w:szCs w:val="20"/>
          <w:color w:val="auto"/>
        </w:rPr>
      </w:pPr>
    </w:p>
    <w:p>
      <w:pPr>
        <w:ind w:right="280" w:firstLine="405"/>
        <w:spacing w:after="0" w:line="282" w:lineRule="auto"/>
        <w:rPr>
          <w:sz w:val="20"/>
          <w:szCs w:val="20"/>
          <w:color w:val="auto"/>
        </w:rPr>
      </w:pPr>
      <w:r>
        <w:rPr>
          <w:rFonts w:ascii="Times New Roman" w:cs="Times New Roman" w:eastAsia="Times New Roman" w:hAnsi="Times New Roman"/>
          <w:sz w:val="18"/>
          <w:szCs w:val="18"/>
          <w:color w:val="auto"/>
        </w:rPr>
        <w:t>Pursuant to the Agreement, the Company transferred 5.0 million shares of Angi held by the Company to Mr. Levin and paid $9.3 million to satisfy applicable tax withholding obligations.</w:t>
      </w:r>
    </w:p>
    <w:p>
      <w:pPr>
        <w:spacing w:after="0" w:line="162"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The Company will record $14.9 million of stock-based compensation expense with respect to the transfer of shares of Angi to Mr. Levin and</w:t>
      </w:r>
    </w:p>
    <w:p>
      <w:pPr>
        <w:spacing w:after="0" w:line="27"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color w:val="auto"/>
        </w:rPr>
        <w:t>$0.1 million of stock-based compensation expense with respect to the extension of the exercise period of certain IAC stock options in the quarter ending March 31, 2025 as provided in the Agreement.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IAC Restricted Stock Units</w:t>
      </w:r>
    </w:p>
    <w:p>
      <w:pPr>
        <w:spacing w:after="0" w:line="227"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Broad based RSU awards issued through December 31, 2024 generally cliff-vest after a five-year period or vest over a four-year period from the grant date. There are no MSU or PSU awards outstanding at December 31, 2024 and 2023.</w:t>
      </w:r>
    </w:p>
    <w:p>
      <w:pPr>
        <w:spacing w:after="0" w:line="162" w:lineRule="exact"/>
        <w:rPr>
          <w:sz w:val="20"/>
          <w:szCs w:val="20"/>
          <w:color w:val="auto"/>
        </w:rPr>
      </w:pPr>
    </w:p>
    <w:p>
      <w:pPr>
        <w:ind w:right="180" w:firstLine="405"/>
        <w:spacing w:after="0" w:line="261" w:lineRule="auto"/>
        <w:rPr>
          <w:sz w:val="20"/>
          <w:szCs w:val="20"/>
          <w:color w:val="auto"/>
        </w:rPr>
      </w:pPr>
      <w:r>
        <w:rPr>
          <w:rFonts w:ascii="Times New Roman" w:cs="Times New Roman" w:eastAsia="Times New Roman" w:hAnsi="Times New Roman"/>
          <w:sz w:val="18"/>
          <w:szCs w:val="18"/>
          <w:color w:val="auto"/>
        </w:rPr>
        <w:t>RSUs are awards in the form of phantom shares or units denominated in a hypothetical equivalent number of shares of IAC common stock and with the value of each RSU equal to the fair value of IAC common stock at the date of grant. Each RSU grant is subject to service-based vesting, where a specific period of continued employment must pass before an award vests. The expense is measured at the grant date as the fair value of IAC common stock and expensed as stock-based compensation over the vesting term.</w:t>
      </w:r>
    </w:p>
    <w:p>
      <w:pPr>
        <w:spacing w:after="0" w:line="1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Unvested RSUs outstanding at December 31, 2024 and changes during the period ended December 31, 2024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180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RSUs</w:t>
            </w:r>
          </w:p>
        </w:tc>
        <w:tc>
          <w:tcPr>
            <w:tcW w:w="1180" w:type="dxa"/>
            <w:vAlign w:val="bottom"/>
          </w:tcPr>
          <w:p>
            <w:pPr>
              <w:spacing w:after="0"/>
              <w:rPr>
                <w:sz w:val="16"/>
                <w:szCs w:val="16"/>
                <w:color w:val="auto"/>
              </w:rPr>
            </w:pPr>
          </w:p>
        </w:tc>
      </w:tr>
      <w:tr>
        <w:trPr>
          <w:trHeight w:val="23"/>
        </w:trPr>
        <w:tc>
          <w:tcPr>
            <w:tcW w:w="826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29"/>
        </w:trPr>
        <w:tc>
          <w:tcPr>
            <w:tcW w:w="82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80" w:type="dxa"/>
            <w:vAlign w:val="bottom"/>
          </w:tcPr>
          <w:p>
            <w:pPr>
              <w:jc w:val="center"/>
              <w:ind w:right="158"/>
              <w:spacing w:after="0" w:line="129" w:lineRule="exact"/>
              <w:rPr>
                <w:sz w:val="20"/>
                <w:szCs w:val="20"/>
                <w:color w:val="auto"/>
              </w:rPr>
            </w:pPr>
            <w:r>
              <w:rPr>
                <w:rFonts w:ascii="Times New Roman" w:cs="Times New Roman" w:eastAsia="Times New Roman" w:hAnsi="Times New Roman"/>
                <w:sz w:val="14"/>
                <w:szCs w:val="14"/>
                <w:b w:val="1"/>
                <w:bCs w:val="1"/>
                <w:color w:val="auto"/>
              </w:rPr>
              <w:t>Weighted</w:t>
            </w:r>
          </w:p>
        </w:tc>
      </w:tr>
      <w:tr>
        <w:trPr>
          <w:trHeight w:val="137"/>
        </w:trPr>
        <w:tc>
          <w:tcPr>
            <w:tcW w:w="82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80" w:type="dxa"/>
            <w:vAlign w:val="bottom"/>
          </w:tcPr>
          <w:p>
            <w:pPr>
              <w:jc w:val="center"/>
              <w:ind w:right="158"/>
              <w:spacing w:after="0" w:line="137" w:lineRule="exact"/>
              <w:rPr>
                <w:sz w:val="20"/>
                <w:szCs w:val="20"/>
                <w:color w:val="auto"/>
              </w:rPr>
            </w:pPr>
            <w:r>
              <w:rPr>
                <w:rFonts w:ascii="Times New Roman" w:cs="Times New Roman" w:eastAsia="Times New Roman" w:hAnsi="Times New Roman"/>
                <w:sz w:val="14"/>
                <w:szCs w:val="14"/>
                <w:b w:val="1"/>
                <w:bCs w:val="1"/>
                <w:color w:val="auto"/>
              </w:rPr>
              <w:t>Average</w:t>
            </w:r>
          </w:p>
        </w:tc>
      </w:tr>
      <w:tr>
        <w:trPr>
          <w:trHeight w:val="160"/>
        </w:trPr>
        <w:tc>
          <w:tcPr>
            <w:tcW w:w="8260" w:type="dxa"/>
            <w:vAlign w:val="bottom"/>
          </w:tcPr>
          <w:p>
            <w:pPr>
              <w:spacing w:after="0"/>
              <w:rPr>
                <w:sz w:val="13"/>
                <w:szCs w:val="13"/>
                <w:color w:val="auto"/>
              </w:rPr>
            </w:pPr>
          </w:p>
        </w:tc>
        <w:tc>
          <w:tcPr>
            <w:tcW w:w="1440" w:type="dxa"/>
            <w:vAlign w:val="bottom"/>
          </w:tcPr>
          <w:p>
            <w:pPr>
              <w:jc w:val="right"/>
              <w:ind w:right="378"/>
              <w:spacing w:after="0" w:line="160" w:lineRule="exact"/>
              <w:rPr>
                <w:sz w:val="20"/>
                <w:szCs w:val="20"/>
                <w:color w:val="auto"/>
              </w:rPr>
            </w:pPr>
            <w:r>
              <w:rPr>
                <w:rFonts w:ascii="Times New Roman" w:cs="Times New Roman" w:eastAsia="Times New Roman" w:hAnsi="Times New Roman"/>
                <w:sz w:val="14"/>
                <w:szCs w:val="14"/>
                <w:b w:val="1"/>
                <w:bCs w:val="1"/>
                <w:color w:val="auto"/>
              </w:rPr>
              <w:t>Number</w:t>
            </w:r>
          </w:p>
        </w:tc>
        <w:tc>
          <w:tcPr>
            <w:tcW w:w="360" w:type="dxa"/>
            <w:vAlign w:val="bottom"/>
          </w:tcPr>
          <w:p>
            <w:pPr>
              <w:spacing w:after="0"/>
              <w:rPr>
                <w:sz w:val="13"/>
                <w:szCs w:val="13"/>
                <w:color w:val="auto"/>
              </w:rPr>
            </w:pPr>
          </w:p>
        </w:tc>
        <w:tc>
          <w:tcPr>
            <w:tcW w:w="1180" w:type="dxa"/>
            <w:vAlign w:val="bottom"/>
          </w:tcPr>
          <w:p>
            <w:pPr>
              <w:jc w:val="center"/>
              <w:ind w:right="158"/>
              <w:spacing w:after="0" w:line="160" w:lineRule="exact"/>
              <w:rPr>
                <w:sz w:val="20"/>
                <w:szCs w:val="20"/>
                <w:color w:val="auto"/>
              </w:rPr>
            </w:pPr>
            <w:r>
              <w:rPr>
                <w:rFonts w:ascii="Times New Roman" w:cs="Times New Roman" w:eastAsia="Times New Roman" w:hAnsi="Times New Roman"/>
                <w:sz w:val="14"/>
                <w:szCs w:val="14"/>
                <w:b w:val="1"/>
                <w:bCs w:val="1"/>
                <w:color w:val="auto"/>
              </w:rPr>
              <w:t>Grant Date</w:t>
            </w:r>
          </w:p>
        </w:tc>
      </w:tr>
      <w:tr>
        <w:trPr>
          <w:trHeight w:val="196"/>
        </w:trPr>
        <w:tc>
          <w:tcPr>
            <w:tcW w:w="8260" w:type="dxa"/>
            <w:vAlign w:val="bottom"/>
          </w:tcPr>
          <w:p>
            <w:pPr>
              <w:spacing w:after="0"/>
              <w:rPr>
                <w:sz w:val="17"/>
                <w:szCs w:val="17"/>
                <w:color w:val="auto"/>
              </w:rPr>
            </w:pPr>
          </w:p>
        </w:tc>
        <w:tc>
          <w:tcPr>
            <w:tcW w:w="144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r>
      <w:tr>
        <w:trPr>
          <w:trHeight w:val="196"/>
        </w:trPr>
        <w:tc>
          <w:tcPr>
            <w:tcW w:w="8260" w:type="dxa"/>
            <w:vAlign w:val="bottom"/>
          </w:tcPr>
          <w:p>
            <w:pPr>
              <w:spacing w:after="0"/>
              <w:rPr>
                <w:sz w:val="17"/>
                <w:szCs w:val="17"/>
                <w:color w:val="auto"/>
              </w:rPr>
            </w:pPr>
          </w:p>
        </w:tc>
        <w:tc>
          <w:tcPr>
            <w:tcW w:w="2980" w:type="dxa"/>
            <w:vAlign w:val="bottom"/>
            <w:gridSpan w:val="3"/>
          </w:tcPr>
          <w:p>
            <w:pPr>
              <w:jc w:val="right"/>
              <w:ind w:right="738"/>
              <w:spacing w:after="0"/>
              <w:rPr>
                <w:sz w:val="20"/>
                <w:szCs w:val="20"/>
                <w:color w:val="auto"/>
              </w:rPr>
            </w:pPr>
            <w:r>
              <w:rPr>
                <w:rFonts w:ascii="Times New Roman" w:cs="Times New Roman" w:eastAsia="Times New Roman" w:hAnsi="Times New Roman"/>
                <w:sz w:val="14"/>
                <w:szCs w:val="14"/>
                <w:b w:val="1"/>
                <w:bCs w:val="1"/>
                <w:color w:val="auto"/>
              </w:rPr>
              <w:t>(Shares in thousands)</w:t>
            </w:r>
          </w:p>
        </w:tc>
      </w:tr>
      <w:tr>
        <w:trPr>
          <w:trHeight w:val="23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January 1</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w:t>
            </w:r>
          </w:p>
        </w:tc>
        <w:tc>
          <w:tcPr>
            <w:tcW w:w="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82.28</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51.29</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74.45</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36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74.27</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December 31</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78.06</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r>
    </w:tbl>
    <w:p>
      <w:pPr>
        <w:spacing w:after="0" w:line="279" w:lineRule="exact"/>
        <w:rPr>
          <w:sz w:val="20"/>
          <w:szCs w:val="20"/>
          <w:color w:val="auto"/>
        </w:rPr>
      </w:pPr>
    </w:p>
    <w:p>
      <w:pPr>
        <w:jc w:val="both"/>
        <w:ind w:right="40" w:firstLine="405"/>
        <w:spacing w:after="0" w:line="261" w:lineRule="auto"/>
        <w:rPr>
          <w:sz w:val="20"/>
          <w:szCs w:val="20"/>
          <w:color w:val="auto"/>
        </w:rPr>
      </w:pPr>
      <w:r>
        <w:rPr>
          <w:rFonts w:ascii="Times New Roman" w:cs="Times New Roman" w:eastAsia="Times New Roman" w:hAnsi="Times New Roman"/>
          <w:sz w:val="18"/>
          <w:szCs w:val="18"/>
          <w:color w:val="auto"/>
        </w:rPr>
        <w:t>The Company currently settles RSU awards on a net basis, with the award holder entitled to receive IAC shares equal to the number of RSUs vesting less a number of shares with a value equal to the required cash tax withholding payment, which will be paid by the Company. The number of IAC common shares that would be required to net settle RSUs outstanding at February 7, 2025 is 0.9 million shares. In addition, withholding taxes, which will be paid by the Company on behalf of the employees upon vesting, would have been $34.0 million at February 7, 2025, assuming a 50% withholding rate.</w:t>
      </w:r>
    </w:p>
    <w:p>
      <w:pPr>
        <w:spacing w:after="0" w:line="180"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The weighted average fair value of RSUs granted for the years ended December 31, 2024, 2023 and 2022, based on market prices of IAC's common stock on the grant date, was $51.29, $53.41 and $114.27, respectively.</w:t>
      </w:r>
    </w:p>
    <w:p>
      <w:pPr>
        <w:spacing w:after="0" w:line="162" w:lineRule="exact"/>
        <w:rPr>
          <w:sz w:val="20"/>
          <w:szCs w:val="20"/>
          <w:color w:val="auto"/>
        </w:rPr>
      </w:pPr>
    </w:p>
    <w:p>
      <w:pPr>
        <w:ind w:right="260" w:firstLine="405"/>
        <w:spacing w:after="0" w:line="282" w:lineRule="auto"/>
        <w:rPr>
          <w:sz w:val="20"/>
          <w:szCs w:val="20"/>
          <w:color w:val="auto"/>
        </w:rPr>
      </w:pPr>
      <w:r>
        <w:rPr>
          <w:rFonts w:ascii="Times New Roman" w:cs="Times New Roman" w:eastAsia="Times New Roman" w:hAnsi="Times New Roman"/>
          <w:sz w:val="18"/>
          <w:szCs w:val="18"/>
          <w:color w:val="auto"/>
        </w:rPr>
        <w:t>The total fair value of RSUs that vested for the years ended December 31, 2024, 2023 and 2022 was $26.8 million, $8.3 million and $12.7 million, respectively.</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IAC INC. AND SUBSIDIARIES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IAC Stock Options</w:t>
      </w:r>
    </w:p>
    <w:p>
      <w:pPr>
        <w:spacing w:after="0" w:line="2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All outstanding stock options are fully vested.</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Stock options outstanding at December 31, 2024 and changes during the period ended December 31, 2024 are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180" w:type="dxa"/>
            <w:vAlign w:val="bottom"/>
            <w:gridSpan w:val="4"/>
          </w:tcPr>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5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520" w:type="dxa"/>
            <w:vAlign w:val="bottom"/>
            <w:gridSpan w:val="2"/>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gridSpan w:val="3"/>
            <w:vMerge w:val="continue"/>
          </w:tcPr>
          <w:p>
            <w:pPr>
              <w:spacing w:after="0"/>
              <w:rPr>
                <w:sz w:val="11"/>
                <w:szCs w:val="11"/>
                <w:color w:val="auto"/>
              </w:rPr>
            </w:pPr>
          </w:p>
        </w:tc>
        <w:tc>
          <w:tcPr>
            <w:tcW w:w="15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1"/>
                <w:szCs w:val="11"/>
                <w:color w:val="auto"/>
              </w:rPr>
            </w:pPr>
          </w:p>
        </w:tc>
        <w:tc>
          <w:tcPr>
            <w:tcW w:w="1180" w:type="dxa"/>
            <w:vAlign w:val="bottom"/>
            <w:vMerge w:val="restart"/>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5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940" w:type="dxa"/>
            <w:vAlign w:val="bottom"/>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5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60" w:type="dxa"/>
            <w:vAlign w:val="bottom"/>
          </w:tcPr>
          <w:p>
            <w:pPr>
              <w:spacing w:after="0"/>
              <w:rPr>
                <w:sz w:val="12"/>
                <w:szCs w:val="12"/>
                <w:color w:val="auto"/>
              </w:rPr>
            </w:pPr>
          </w:p>
        </w:tc>
        <w:tc>
          <w:tcPr>
            <w:tcW w:w="1180" w:type="dxa"/>
            <w:vAlign w:val="bottom"/>
          </w:tcPr>
          <w:p>
            <w:pPr>
              <w:jc w:val="center"/>
              <w:ind w:right="181"/>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96"/>
        </w:trPr>
        <w:tc>
          <w:tcPr>
            <w:tcW w:w="5200" w:type="dxa"/>
            <w:vAlign w:val="bottom"/>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left="441"/>
              <w:spacing w:after="0"/>
              <w:rPr>
                <w:sz w:val="20"/>
                <w:szCs w:val="20"/>
                <w:color w:val="auto"/>
              </w:rPr>
            </w:pPr>
            <w:r>
              <w:rPr>
                <w:rFonts w:ascii="Times New Roman" w:cs="Times New Roman" w:eastAsia="Times New Roman" w:hAnsi="Times New Roman"/>
                <w:sz w:val="14"/>
                <w:szCs w:val="14"/>
                <w:b w:val="1"/>
                <w:bCs w:val="1"/>
                <w:color w:val="auto"/>
              </w:rPr>
              <w:t>Price</w:t>
            </w:r>
          </w:p>
        </w:tc>
        <w:tc>
          <w:tcPr>
            <w:tcW w:w="5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Term in Years</w:t>
            </w: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96"/>
        </w:trPr>
        <w:tc>
          <w:tcPr>
            <w:tcW w:w="5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6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(Shares and intrinsic value in thousands)</w:t>
            </w: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Outstanding at January 1</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2,570</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701"/>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9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Options Outstanding at December 31</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2,449</w:t>
            </w:r>
          </w:p>
        </w:tc>
        <w:tc>
          <w:tcPr>
            <w:tcW w:w="120" w:type="dxa"/>
            <w:vAlign w:val="bottom"/>
          </w:tcPr>
          <w:p>
            <w:pPr>
              <w:spacing w:after="0"/>
              <w:rPr>
                <w:sz w:val="19"/>
                <w:szCs w:val="19"/>
                <w:color w:val="auto"/>
              </w:rPr>
            </w:pPr>
          </w:p>
        </w:tc>
        <w:tc>
          <w:tcPr>
            <w:tcW w:w="880" w:type="dxa"/>
            <w:vAlign w:val="bottom"/>
          </w:tcPr>
          <w:p>
            <w:pPr>
              <w:jc w:val="right"/>
              <w:ind w:right="701"/>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70,756</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6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exercisable</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2,449</w:t>
            </w: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701"/>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70,756</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The aggregate intrinsic value in the table above represents the difference between IAC's closing stock price on the last trading day of 2024 and the exercise price, multiplied by the number of in-the-money options that would have been exercised had all option holders exercised their options on December 31, 2024. The total intrinsic value of IAC stock options exercised during the years ended December 31, 2024, 2023 and 2022 was $5.1 million, $11.3 million and $3.4 million, respectively.</w:t>
      </w:r>
    </w:p>
    <w:p>
      <w:pPr>
        <w:spacing w:after="0" w:line="1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information about stock options outstanding and exercisable at December 31, 2024:</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 Exercisable</w:t>
            </w: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58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1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58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1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20" w:type="dxa"/>
            <w:vAlign w:val="bottom"/>
            <w:vMerge w:val="restart"/>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Outstanding at</w:t>
            </w: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80" w:type="dxa"/>
            <w:vAlign w:val="bottom"/>
          </w:tcPr>
          <w:p>
            <w:pPr>
              <w:spacing w:after="0"/>
              <w:rPr>
                <w:sz w:val="12"/>
                <w:szCs w:val="12"/>
                <w:color w:val="auto"/>
              </w:rPr>
            </w:pPr>
          </w:p>
        </w:tc>
        <w:tc>
          <w:tcPr>
            <w:tcW w:w="1400" w:type="dxa"/>
            <w:vAlign w:val="bottom"/>
            <w:vMerge w:val="restart"/>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420" w:type="dxa"/>
            <w:vAlign w:val="bottom"/>
            <w:vMerge w:val="restart"/>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Exercisable at</w:t>
            </w: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80" w:type="dxa"/>
            <w:vAlign w:val="bottom"/>
          </w:tcPr>
          <w:p>
            <w:pPr>
              <w:spacing w:after="0"/>
              <w:rPr>
                <w:sz w:val="12"/>
                <w:szCs w:val="12"/>
                <w:color w:val="auto"/>
              </w:rPr>
            </w:pPr>
          </w:p>
        </w:tc>
        <w:tc>
          <w:tcPr>
            <w:tcW w:w="1300" w:type="dxa"/>
            <w:vAlign w:val="bottom"/>
            <w:vMerge w:val="restart"/>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w w:val="98"/>
              </w:rPr>
              <w:t>Weighted- Average</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Range of Exercise Prices</w:t>
            </w:r>
          </w:p>
        </w:tc>
        <w:tc>
          <w:tcPr>
            <w:tcW w:w="1420" w:type="dxa"/>
            <w:vAlign w:val="bottom"/>
            <w:vMerge w:val="continue"/>
          </w:tcPr>
          <w:p>
            <w:pPr>
              <w:spacing w:after="0"/>
              <w:rPr>
                <w:sz w:val="12"/>
                <w:szCs w:val="12"/>
                <w:color w:val="auto"/>
              </w:rPr>
            </w:pPr>
          </w:p>
        </w:tc>
        <w:tc>
          <w:tcPr>
            <w:tcW w:w="15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Contractual Life in</w:t>
            </w:r>
          </w:p>
        </w:tc>
        <w:tc>
          <w:tcPr>
            <w:tcW w:w="18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420" w:type="dxa"/>
            <w:vAlign w:val="bottom"/>
            <w:vMerge w:val="continue"/>
          </w:tcPr>
          <w:p>
            <w:pPr>
              <w:spacing w:after="0"/>
              <w:rPr>
                <w:sz w:val="12"/>
                <w:szCs w:val="12"/>
                <w:color w:val="auto"/>
              </w:rPr>
            </w:pPr>
          </w:p>
        </w:tc>
        <w:tc>
          <w:tcPr>
            <w:tcW w:w="15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Contractual Life in</w:t>
            </w:r>
          </w:p>
        </w:tc>
        <w:tc>
          <w:tcPr>
            <w:tcW w:w="18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40" w:type="dxa"/>
            <w:vAlign w:val="bottom"/>
            <w:gridSpan w:val="2"/>
            <w:vMerge w:val="continue"/>
          </w:tcPr>
          <w:p>
            <w:pPr>
              <w:spacing w:after="0"/>
              <w:rPr>
                <w:sz w:val="12"/>
                <w:szCs w:val="12"/>
                <w:color w:val="auto"/>
              </w:rPr>
            </w:pPr>
          </w:p>
        </w:tc>
        <w:tc>
          <w:tcPr>
            <w:tcW w:w="1420" w:type="dxa"/>
            <w:vAlign w:val="bottom"/>
          </w:tcPr>
          <w:p>
            <w:pPr>
              <w:jc w:val="right"/>
              <w:ind w:right="36"/>
              <w:spacing w:after="0" w:line="129" w:lineRule="exact"/>
              <w:rPr>
                <w:sz w:val="20"/>
                <w:szCs w:val="20"/>
                <w:color w:val="auto"/>
              </w:rPr>
            </w:pPr>
            <w:r>
              <w:rPr>
                <w:rFonts w:ascii="Times New Roman" w:cs="Times New Roman" w:eastAsia="Times New Roman" w:hAnsi="Times New Roman"/>
                <w:sz w:val="14"/>
                <w:szCs w:val="14"/>
                <w:b w:val="1"/>
                <w:bCs w:val="1"/>
                <w:color w:val="auto"/>
              </w:rPr>
              <w:t>December 31, 2024</w:t>
            </w:r>
          </w:p>
        </w:tc>
        <w:tc>
          <w:tcPr>
            <w:tcW w:w="158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7"/>
              </w:rPr>
              <w:t>Years</w:t>
            </w:r>
          </w:p>
        </w:tc>
        <w:tc>
          <w:tcPr>
            <w:tcW w:w="180" w:type="dxa"/>
            <w:vAlign w:val="bottom"/>
          </w:tcPr>
          <w:p>
            <w:pPr>
              <w:spacing w:after="0"/>
              <w:rPr>
                <w:sz w:val="12"/>
                <w:szCs w:val="12"/>
                <w:color w:val="auto"/>
              </w:rPr>
            </w:pPr>
          </w:p>
        </w:tc>
        <w:tc>
          <w:tcPr>
            <w:tcW w:w="1400" w:type="dxa"/>
            <w:vAlign w:val="bottom"/>
          </w:tcPr>
          <w:p>
            <w:pPr>
              <w:jc w:val="right"/>
              <w:ind w:right="298"/>
              <w:spacing w:after="0" w:line="12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1420" w:type="dxa"/>
            <w:vAlign w:val="bottom"/>
          </w:tcPr>
          <w:p>
            <w:pPr>
              <w:jc w:val="right"/>
              <w:ind w:right="36"/>
              <w:spacing w:after="0" w:line="129" w:lineRule="exact"/>
              <w:rPr>
                <w:sz w:val="20"/>
                <w:szCs w:val="20"/>
                <w:color w:val="auto"/>
              </w:rPr>
            </w:pPr>
            <w:r>
              <w:rPr>
                <w:rFonts w:ascii="Times New Roman" w:cs="Times New Roman" w:eastAsia="Times New Roman" w:hAnsi="Times New Roman"/>
                <w:sz w:val="14"/>
                <w:szCs w:val="14"/>
                <w:b w:val="1"/>
                <w:bCs w:val="1"/>
                <w:color w:val="auto"/>
              </w:rPr>
              <w:t>December 31, 2024</w:t>
            </w:r>
          </w:p>
        </w:tc>
        <w:tc>
          <w:tcPr>
            <w:tcW w:w="158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Years</w:t>
            </w:r>
          </w:p>
        </w:tc>
        <w:tc>
          <w:tcPr>
            <w:tcW w:w="180" w:type="dxa"/>
            <w:vAlign w:val="bottom"/>
          </w:tcPr>
          <w:p>
            <w:pPr>
              <w:spacing w:after="0"/>
              <w:rPr>
                <w:sz w:val="12"/>
                <w:szCs w:val="12"/>
                <w:color w:val="auto"/>
              </w:rPr>
            </w:pPr>
          </w:p>
        </w:tc>
        <w:tc>
          <w:tcPr>
            <w:tcW w:w="1300" w:type="dxa"/>
            <w:vAlign w:val="bottom"/>
          </w:tcPr>
          <w:p>
            <w:pPr>
              <w:jc w:val="right"/>
              <w:ind w:right="196"/>
              <w:spacing w:after="0" w:line="12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520" w:type="dxa"/>
            <w:vAlign w:val="bottom"/>
            <w:tcBorders>
              <w:top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20" w:type="dxa"/>
            <w:vAlign w:val="bottom"/>
            <w:gridSpan w:val="2"/>
          </w:tcPr>
          <w:p>
            <w:pPr>
              <w:jc w:val="right"/>
              <w:ind w:right="716"/>
              <w:spacing w:after="0"/>
              <w:rPr>
                <w:sz w:val="20"/>
                <w:szCs w:val="20"/>
                <w:color w:val="auto"/>
              </w:rPr>
            </w:pPr>
            <w:r>
              <w:rPr>
                <w:rFonts w:ascii="Times New Roman" w:cs="Times New Roman" w:eastAsia="Times New Roman" w:hAnsi="Times New Roman"/>
                <w:sz w:val="14"/>
                <w:szCs w:val="14"/>
                <w:b w:val="1"/>
                <w:bCs w:val="1"/>
                <w:color w:val="auto"/>
              </w:rPr>
              <w:t>(Shares in thousands)</w:t>
            </w:r>
          </w:p>
        </w:tc>
        <w:tc>
          <w:tcPr>
            <w:tcW w:w="1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2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than $10.00</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8.61</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$10.01 to $15.00</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tcPr>
          <w:p>
            <w:pPr>
              <w:spacing w:after="0"/>
              <w:rPr>
                <w:sz w:val="19"/>
                <w:szCs w:val="19"/>
                <w:color w:val="auto"/>
              </w:rPr>
            </w:pPr>
          </w:p>
        </w:tc>
        <w:tc>
          <w:tcPr>
            <w:tcW w:w="1400" w:type="dxa"/>
            <w:vAlign w:val="bottom"/>
          </w:tcPr>
          <w:p>
            <w:pPr>
              <w:jc w:val="right"/>
              <w:ind w:right="98"/>
              <w:spacing w:after="0"/>
              <w:rPr>
                <w:sz w:val="20"/>
                <w:szCs w:val="20"/>
                <w:color w:val="auto"/>
              </w:rPr>
            </w:pPr>
            <w:r>
              <w:rPr>
                <w:rFonts w:ascii="Times New Roman" w:cs="Times New Roman" w:eastAsia="Times New Roman" w:hAnsi="Times New Roman"/>
                <w:sz w:val="18"/>
                <w:szCs w:val="18"/>
                <w:color w:val="auto"/>
              </w:rPr>
              <w:t>13.71</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$15.01 to $20.00</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16.09</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2,449</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98"/>
              <w:spacing w:after="0"/>
              <w:rPr>
                <w:sz w:val="20"/>
                <w:szCs w:val="20"/>
                <w:color w:val="auto"/>
              </w:rPr>
            </w:pPr>
            <w:r>
              <w:rPr>
                <w:rFonts w:ascii="Times New Roman" w:cs="Times New Roman" w:eastAsia="Times New Roman" w:hAnsi="Times New Roman"/>
                <w:sz w:val="18"/>
                <w:szCs w:val="18"/>
                <w:color w:val="auto"/>
              </w:rPr>
              <w:t>14.25</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2,449</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The fair value of stock option awards, with the exception of market-based awards, is estimated on the grant date using the Black-Scholes option pricing model. The Black-Scholes option pricing model incorporates various assumptions, including expected volatility, risk-free interest rate and expected term.</w:t>
      </w:r>
    </w:p>
    <w:p>
      <w:pPr>
        <w:spacing w:after="0" w:line="176" w:lineRule="exact"/>
        <w:rPr>
          <w:sz w:val="20"/>
          <w:szCs w:val="20"/>
          <w:color w:val="auto"/>
        </w:rPr>
      </w:pPr>
    </w:p>
    <w:p>
      <w:pPr>
        <w:ind w:right="140" w:firstLine="405"/>
        <w:spacing w:after="0" w:line="256" w:lineRule="auto"/>
        <w:rPr>
          <w:sz w:val="20"/>
          <w:szCs w:val="20"/>
          <w:color w:val="auto"/>
        </w:rPr>
      </w:pPr>
      <w:r>
        <w:rPr>
          <w:rFonts w:ascii="Times New Roman" w:cs="Times New Roman" w:eastAsia="Times New Roman" w:hAnsi="Times New Roman"/>
          <w:sz w:val="18"/>
          <w:szCs w:val="18"/>
          <w:color w:val="auto"/>
        </w:rPr>
        <w:t>The Company has the discretion to settle IAC stock options net of withholding tax and exercise price or require the award holder to pay its share of the withholding tax, which he or she may do so by selling IAC common shares. The aggregate intrinsic value of IAC's stock options outstanding as of February 7, 2025, is $66.7 million. Assuming all stock options outstanding on February 7, 2025 were net settled on that date, the Company would have issued 0.8 million common shares and would have remitted $33.4 million in cash for withholding taxes (assuming a 50% withholding rate). Assuming all stock options outstanding on February 7, 2025 were settled through the issuance of a number of IAC common shares equal to the number of stock options exercised, the Company would have issued 2.4 million common shares and would have received $34.8 million in cash proceeds.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37" w:name="page138"/>
    <w:bookmarkEnd w:id="1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IAC INC. AND SUBSIDIARIES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Awards Denominated in the Shares of Certain Subsidiaries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Non-publicly traded Subsidiaries</w:t>
      </w:r>
    </w:p>
    <w:p>
      <w:pPr>
        <w:spacing w:after="0" w:line="2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description excludes awards denominated in Angi shares.</w:t>
      </w:r>
    </w:p>
    <w:p>
      <w:pPr>
        <w:spacing w:after="0" w:line="225"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The Company has granted stock settled stock appreciation rights to employees and management that are denominated in the equity of certain non-publicly traded subsidiaries of the Company. These equity awards vest over a period of years or upon the occurrence of certain prescribed events. The value of the stock settled stock appreciation rights is tied to the value of the common stock of these subsidiaries. Accordingly, these interests only have value to the extent the relevant business appreciates in value above the initial value utilized to determine the exercise price. These interests can have significant value in the event of significant appreciation. The fair value of these interest is generally determined by the Board of Directors of the applicable subsidiary, which will occur at various dates through 2030. These equity awards are settled on a net basis, with the award holder entitled to receive a payment in IAC common shares equal to the intrinsic value of the award at exercise less an amount equal to the required cash tax withholding payment, which will be paid by the Company. The number of IAC common shares ultimately needed to settle these awards may vary significantly from the estimated number below as a result of both movements in our stock price and a determination of fair value of the relevant subsidiary that is different than our estimate. The expense associated with these equity awards is initially measured at fair value at the grant date and is expensed as stock-based compensation over the vesting term. The number of IAC common shares that would be required to settle these interests at current estimated fair values, including vested and unvested interests, at February 7, 2025 is 0.6 million shares. Withholding taxes, which will be paid by the Company on behalf of the employees upon exercise, would have been $25.8 million at February 7, 2025, assuming a 50% withholding rate.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Angi</w:t>
      </w:r>
    </w:p>
    <w:p>
      <w:pPr>
        <w:spacing w:after="0" w:line="227"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Angi currently settles all of its equity awards on a net basis. Certain Angi stock appreciation rights issued prior to the transaction resulting in formation of Angi in 2017 (the “Combination”) are settleable in either shares of Angi common stock or shares of IAC common stock at IAC's option. If settled in IAC common stock, Angi reimburses IAC in shares of its common stock. At February 7, 2025 these awards are out of the money and have no intrinsic value. Certain equity awards denominated in shares of an Angi subsidiary may be settled in either shares of Angi common stock or IAC common stock at IAC's option. The aggregate intrinsic value of the subsidiary denominated equity awards at February 7, 2025 is $5.6 million ($4.4 million for awards currently vested and $1.2 million for awards currently unvested); assuming these awards were net settled on that date, the withholding taxes that would be payable by Angi on behalf of the employees are $2.8 million, assuming a 50% withholding rate, and Angi would have issued 1.6 million shares of its common stock. If IAC elects to settle the vested subsidiary denominated equity awards outstanding IAC would have issued 0.1 million shares of its common stock. To the extent shares of IAC common stock are issued in settlement of these awards, Angi is obligated to reimburse IAC for the cost of those shares by issuing shares of Angi common stock. The aggregate intrinsic value of all other Angi equity awards, including stock options and RSUs at February 7, 2025 is $41.3 million; assuming these awards were net settled on that date, the withholding taxes that would be payable by Angi on behalf of the employees are $19.2 million, assuming a 50% withholding rate, and Angi would have issued 12.5 million shares of its common stock.</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Forfeitures and Unrecognized Compensation Cost</w:t>
      </w:r>
    </w:p>
    <w:p>
      <w:pPr>
        <w:spacing w:after="0" w:line="229"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The amount of stock-based compensation expense recognized in the statement of operations is net of estimated forfeitures. The forfeiture rate is estimated at the grant date based on historical experience and revised, if necessary, in subsequent periods if actual forfeitures differ from the estimated rate. The expense ultimately recorded is for the awards that vest. At December 31, 2024, there is $206.8 million of unrecognized compensation cost, net of estimated forfeitures, related to all equity-based awards, including Angi, which is expected to be recognized over a weighted average period of approximately 3.6 years. Included in the aforementioned unrecognized compensation costs at December 31, 2024 is $81.0 million of unrecognized compensation costs related to Mr. Levin's restricted stock award that was forfeited in January 2025 in connection with his Employment Transition Agreement. Excluding Mr. Levin's restricted stock award, there was $125.8 million of unrecognized compensation cost, net of estimated forfeitures, related to all equity-based awards, which is expected to be recognized over a weighted average period of approximately 2.1 years. The amount of unrecognized compensation cost, net of estimated forfeitures, at December 31, 2024 related to Angi is $36.5 million.</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IAC INC. AND SUBSIDIARIES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Benefits</w:t>
      </w:r>
    </w:p>
    <w:p>
      <w:pPr>
        <w:spacing w:after="0" w:line="229" w:lineRule="exact"/>
        <w:rPr>
          <w:sz w:val="20"/>
          <w:szCs w:val="20"/>
          <w:color w:val="auto"/>
        </w:rPr>
      </w:pPr>
    </w:p>
    <w:p>
      <w:pPr>
        <w:ind w:right="300" w:firstLine="405"/>
        <w:spacing w:after="0" w:line="282" w:lineRule="auto"/>
        <w:rPr>
          <w:sz w:val="20"/>
          <w:szCs w:val="20"/>
          <w:color w:val="auto"/>
        </w:rPr>
      </w:pPr>
      <w:r>
        <w:rPr>
          <w:rFonts w:ascii="Times New Roman" w:cs="Times New Roman" w:eastAsia="Times New Roman" w:hAnsi="Times New Roman"/>
          <w:sz w:val="18"/>
          <w:szCs w:val="18"/>
          <w:color w:val="auto"/>
        </w:rPr>
        <w:t>The total income tax benefit recognized in the statement of operations for the years ended December 31, 2024, 2023 and 2022 related to all stock-based compensation expense is $13.6 million, $17.2 million and $20.0 million, respectively.</w:t>
      </w:r>
    </w:p>
    <w:p>
      <w:pPr>
        <w:spacing w:after="0" w:line="162"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The aggregate income tax benefit recognized related to the exercise of stock options for the years ended December 31, 2024, 2023 and 2022, is $2.0 million, $4.0 million and $1.7 million, respectively. There may be some delay in the timing of the realization of the cash benefit of the income tax deductions related to stock-based compensation because it will be dependent upon the amount and timing of future taxable income and the timing of estimated income tax payments.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11—PENSION AND POST-RETIREMENT BENEFIT PLANS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Pension and Post-Retirement Plans</w:t>
      </w:r>
    </w:p>
    <w:p>
      <w:pPr>
        <w:spacing w:after="0" w:line="229"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In connection with the 2021 acquisition of Meredith, the Company assumed the obligations under Meredith’s various pension plans. The plans include U.S. noncontributory pension plans that cover substantially all employees who were employed by Meredith prior to January 1, 2018. There are two international pension plans in the U.K., including the IPC Plan. The international plans have no active participants. The two U.S. and two U.K. plans consist of a qualified (funded) plan and a nonqualified (unfunded) plan in each country. These plans provide participants with retirement benefits in accordance with benefit provision formulas. The unfunded pension plans provide retirement benefits to certain highly compensated employees. The Company also assumed Meredith's defined healthcare and life insurance plans that provide benefits to eligible employees upon their retirement.</w:t>
      </w:r>
    </w:p>
    <w:p>
      <w:pPr>
        <w:spacing w:after="0" w:line="18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U.S. Pension Plans and Post-Retirement Plan</w:t>
      </w:r>
    </w:p>
    <w:p>
      <w:pPr>
        <w:spacing w:after="0" w:line="229"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On December 28, 2024, Dotdash Meredith amended the domestic unfunded pension plan to freeze active participation as of December 31, 2024. All plan participants will continue as participants in this plan with respect to their accrued benefits until their accrued benefits are distributed to them or their beneficiaries. The plan was closed to new participants as of December 31, 2022, and participant's covered compensation was frozen effective December 31, 2024. Participants continue to receive interest accumulation pursuant to the terms of the plan. Because the plan is unfunded, Dotdash Meredith will make benefit payments to the participants once they reach their benefit eligibility date.</w:t>
      </w:r>
    </w:p>
    <w:p>
      <w:pPr>
        <w:spacing w:after="0" w:line="183" w:lineRule="exact"/>
        <w:rPr>
          <w:sz w:val="20"/>
          <w:szCs w:val="20"/>
          <w:color w:val="auto"/>
        </w:rPr>
      </w:pPr>
    </w:p>
    <w:p>
      <w:pPr>
        <w:ind w:right="20" w:firstLine="405"/>
        <w:spacing w:after="0" w:line="253" w:lineRule="auto"/>
        <w:rPr>
          <w:sz w:val="20"/>
          <w:szCs w:val="20"/>
          <w:color w:val="auto"/>
        </w:rPr>
      </w:pPr>
      <w:r>
        <w:rPr>
          <w:rFonts w:ascii="Times New Roman" w:cs="Times New Roman" w:eastAsia="Times New Roman" w:hAnsi="Times New Roman"/>
          <w:sz w:val="18"/>
          <w:szCs w:val="18"/>
          <w:color w:val="auto"/>
        </w:rPr>
        <w:t>Dotdash Meredith froze and terminated the domestic funded pension plan as of December 31, 2022. The last of the required customary regulatory approvals of the termination of this plan was received in February 2024. In connection with the termination of this plan, the liabilities were settled through a combination of (i) lump sum payments to eligible participants who elected to receive them and (ii) the purchase of annuity contracts for participants who either did not elect lump sums or were already receiving benefits. During 2024, the domestic funded pension plan’s remaining assets of $16.0 million were transferred to a suspense account in the trust for the IAC Inc. Retirement Savings Plan (the “IAC Plan”), a qualified retirement plan (“QRP”). In accordance with Internal Revenue Service (“IRS”) requirements, assets in the suspense account are to be allocated to active Dotdash Meredith participants in the IAC Plan no less than ratably over a period not to exceed seven years, which may be accelerated. During the third quarter of 2024, Dotdash Meredith made its first asset allocation under the IRS requirements, in the amount of $2.3 million, and expects to allocate the remaining funds in 2025. The assets transferred to the QRP are restricted in nature and considered to be a Level 2 investment in the fair value hierarchy. The remaining assets in the QRP are reflected as a retirement investment fund in “Other current assets” in the balance sheet as of December 31, 2024.</w:t>
      </w:r>
    </w:p>
    <w:p>
      <w:pPr>
        <w:spacing w:after="0" w:line="194" w:lineRule="exact"/>
        <w:rPr>
          <w:sz w:val="20"/>
          <w:szCs w:val="20"/>
          <w:color w:val="auto"/>
        </w:rPr>
      </w:pPr>
    </w:p>
    <w:p>
      <w:pPr>
        <w:ind w:right="260" w:firstLine="405"/>
        <w:spacing w:after="0" w:line="266" w:lineRule="auto"/>
        <w:rPr>
          <w:sz w:val="20"/>
          <w:szCs w:val="20"/>
          <w:color w:val="auto"/>
        </w:rPr>
      </w:pPr>
      <w:r>
        <w:rPr>
          <w:rFonts w:ascii="Times New Roman" w:cs="Times New Roman" w:eastAsia="Times New Roman" w:hAnsi="Times New Roman"/>
          <w:sz w:val="18"/>
          <w:szCs w:val="18"/>
          <w:color w:val="auto"/>
        </w:rPr>
        <w:t>In addition, Dotdash Meredith provides health care benefits for certain employees in the U.S. upon their retirement. This plan is the only plan with active participants that are accruing benefits based upon service and the expected cost of which is accrued over the period that the employees render services; this plan is funded as claims are paid.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IAC INC. AND SUBSIDIARIES</w:t>
      </w:r>
    </w:p>
    <w:p>
      <w:pPr>
        <w:spacing w:after="0" w:line="1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U.K. Pension Plans</w:t>
      </w:r>
    </w:p>
    <w:p>
      <w:pPr>
        <w:spacing w:after="0" w:line="229"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The IPC plan and the unfunded international plan relate to certain Meredith operations that were sold prior to the Company’s 2021 acquisition of Meredith; Meredith retained the pension obligations related to these operations. On July 28, 2022, following approval by the trustees of the IPC Plan, the IPC Plan entered into an annuity contract with a private limited life insurance company covering all IPC Plan participants who were not covered by an annuity contract entered into in May 2020. The annuity contracts are designed to provide payments equal to all future designated contractual benefit payments. The value of the annuity contracts and the liabilities with respect to participants are expected to match. Dotdash Meredith remains responsible for paying pension benefits to the IPC Plan participants. While Dotdash Meredith currently does not expect to be required to make additional contributions to the IPC Plan, this may change based upon future events or as additional information becomes available.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IAC INC. AND SUBSIDIARIES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Obligations and Funded Status</w:t>
      </w:r>
    </w:p>
    <w:p>
      <w:pPr>
        <w:spacing w:after="0" w:line="2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Change in Net Assets/Liabilities</w:t>
      </w:r>
    </w:p>
    <w:p>
      <w:pPr>
        <w:spacing w:after="0" w:line="2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tables present changes in, and components of, Dotdash Meredith's net assets/liabilities for pension and other post-retirement benefits: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960" w:type="dxa"/>
            <w:vAlign w:val="bottom"/>
            <w:gridSpan w:val="8"/>
          </w:tcPr>
          <w:p>
            <w:pPr>
              <w:ind w:left="860"/>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240" w:type="dxa"/>
            <w:vAlign w:val="bottom"/>
          </w:tcPr>
          <w:p>
            <w:pPr>
              <w:spacing w:after="0"/>
              <w:rPr>
                <w:sz w:val="16"/>
                <w:szCs w:val="16"/>
                <w:color w:val="auto"/>
              </w:rPr>
            </w:pPr>
          </w:p>
        </w:tc>
        <w:tc>
          <w:tcPr>
            <w:tcW w:w="3880" w:type="dxa"/>
            <w:vAlign w:val="bottom"/>
            <w:gridSpan w:val="7"/>
          </w:tcPr>
          <w:p>
            <w:pPr>
              <w:jc w:val="right"/>
              <w:ind w:right="1012"/>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r>
      <w:tr>
        <w:trPr>
          <w:trHeight w:val="23"/>
        </w:trPr>
        <w:tc>
          <w:tcPr>
            <w:tcW w:w="29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6"/>
        </w:trPr>
        <w:tc>
          <w:tcPr>
            <w:tcW w:w="2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Post-Retirement</w:t>
            </w:r>
          </w:p>
        </w:tc>
        <w:tc>
          <w:tcPr>
            <w:tcW w:w="240" w:type="dxa"/>
            <w:vAlign w:val="bottom"/>
          </w:tcPr>
          <w:p>
            <w:pPr>
              <w:spacing w:after="0"/>
              <w:rPr>
                <w:sz w:val="16"/>
                <w:szCs w:val="16"/>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Post-Retirement</w:t>
            </w:r>
          </w:p>
        </w:tc>
      </w:tr>
      <w:tr>
        <w:trPr>
          <w:trHeight w:val="23"/>
        </w:trPr>
        <w:tc>
          <w:tcPr>
            <w:tcW w:w="2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90"/>
        </w:trPr>
        <w:tc>
          <w:tcPr>
            <w:tcW w:w="292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Domestic</w:t>
            </w:r>
          </w:p>
        </w:tc>
        <w:tc>
          <w:tcPr>
            <w:tcW w:w="22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00" w:type="dxa"/>
            <w:vAlign w:val="bottom"/>
            <w:tcBorders>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Domestic</w:t>
            </w:r>
          </w:p>
        </w:tc>
        <w:tc>
          <w:tcPr>
            <w:tcW w:w="100" w:type="dxa"/>
            <w:vAlign w:val="bottom"/>
            <w:tcBorders>
              <w:bottom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Domestic</w:t>
            </w:r>
          </w:p>
        </w:tc>
        <w:tc>
          <w:tcPr>
            <w:tcW w:w="2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00" w:type="dxa"/>
            <w:vAlign w:val="bottom"/>
            <w:tcBorders>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Domestic</w:t>
            </w:r>
          </w:p>
        </w:tc>
      </w:tr>
      <w:tr>
        <w:trPr>
          <w:trHeight w:val="196"/>
        </w:trPr>
        <w:tc>
          <w:tcPr>
            <w:tcW w:w="2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80" w:type="dxa"/>
            <w:vAlign w:val="bottom"/>
            <w:gridSpan w:val="5"/>
          </w:tcPr>
          <w:p>
            <w:pPr>
              <w:ind w:left="8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36"/>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benefit obligation</w:t>
            </w: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29"/>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obligation, beginning of year</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56,722</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488,269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72,988</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467,829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4,473</w:t>
            </w:r>
          </w:p>
        </w:tc>
      </w:tr>
      <w:tr>
        <w:trPr>
          <w:trHeight w:val="230"/>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19,610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r>
      <w:tr>
        <w:trPr>
          <w:trHeight w:val="22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actuarial gain</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(62,955)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r>
      <w:tr>
        <w:trPr>
          <w:trHeight w:val="230"/>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Benefits paid (including lump sums)</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Curtailment gain</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exchange rate impact</w:t>
            </w: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obligation, end of year</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3,632</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420,626</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4,042</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56,722</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488,269</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4,248</w:t>
            </w:r>
          </w:p>
        </w:tc>
      </w:tr>
      <w:tr>
        <w:trPr>
          <w:trHeight w:val="20"/>
        </w:trPr>
        <w:tc>
          <w:tcPr>
            <w:tcW w:w="29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97"/>
        </w:trPr>
        <w:tc>
          <w:tcPr>
            <w:tcW w:w="29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Change in plan assets</w:t>
            </w: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184"/>
        </w:trPr>
        <w:tc>
          <w:tcPr>
            <w:tcW w:w="29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Fair value of plan assets, beginning of</w:t>
            </w: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4"/>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62,008</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488,701</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78,199</w:t>
            </w:r>
          </w:p>
        </w:tc>
        <w:tc>
          <w:tcPr>
            <w:tcW w:w="8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467,891</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Employer contributions</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Benefits paid (including lump sums)</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(46,856)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 to QRP</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exchange rate impact</w:t>
            </w:r>
          </w:p>
        </w:tc>
        <w:tc>
          <w:tcPr>
            <w:tcW w:w="2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plan assets, end of year</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419,963</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62,008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488,701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1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04"/>
        </w:trPr>
        <w:tc>
          <w:tcPr>
            <w:tcW w:w="29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(Under) over funded status, end of year</w:t>
            </w:r>
          </w:p>
        </w:tc>
        <w:tc>
          <w:tcPr>
            <w:tcW w:w="240" w:type="dxa"/>
            <w:vAlign w:val="bottom"/>
            <w:tcBorders>
              <w:top w:val="single" w:sz="8" w:color="auto"/>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(3,632)</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(663)</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(4,042)</w:t>
            </w:r>
          </w:p>
        </w:tc>
        <w:tc>
          <w:tcPr>
            <w:tcW w:w="100" w:type="dxa"/>
            <w:vAlign w:val="bottom"/>
            <w:tcBorders>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5,286</w:t>
            </w: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432</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(4,248)</w:t>
            </w:r>
          </w:p>
        </w:tc>
      </w:tr>
      <w:tr>
        <w:trPr>
          <w:trHeight w:val="20"/>
        </w:trPr>
        <w:tc>
          <w:tcPr>
            <w:tcW w:w="2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right="80" w:firstLine="405"/>
        <w:spacing w:after="0" w:line="282" w:lineRule="auto"/>
        <w:rPr>
          <w:sz w:val="20"/>
          <w:szCs w:val="20"/>
          <w:color w:val="auto"/>
        </w:rPr>
      </w:pPr>
      <w:r>
        <w:rPr>
          <w:rFonts w:ascii="Times New Roman" w:cs="Times New Roman" w:eastAsia="Times New Roman" w:hAnsi="Times New Roman"/>
          <w:sz w:val="18"/>
          <w:szCs w:val="18"/>
          <w:color w:val="auto"/>
        </w:rPr>
        <w:t>Benefits paid directly from Dotdash Meredith assets for the unfunded domestic and international plans and the post-retirement plan are included both in employer contributions and benefits paid.</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Domestic Plans</w:t>
      </w:r>
    </w:p>
    <w:p>
      <w:pPr>
        <w:spacing w:after="0" w:line="225"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The over funded status as of December 31, 2023 was the result of the decision to freeze and terminate the funded plan, which shifted the investment strategy of the plan until the eventual distribution to the plan participants in 2024 discussed above.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IAC INC. AND SUBSIDIARIES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International Plans</w:t>
      </w:r>
    </w:p>
    <w:p>
      <w:pPr>
        <w:spacing w:after="0" w:line="225" w:lineRule="exact"/>
        <w:rPr>
          <w:sz w:val="20"/>
          <w:szCs w:val="20"/>
          <w:color w:val="auto"/>
        </w:rPr>
      </w:pPr>
    </w:p>
    <w:p>
      <w:pPr>
        <w:ind w:right="180" w:firstLine="405"/>
        <w:spacing w:after="0" w:line="266" w:lineRule="auto"/>
        <w:rPr>
          <w:sz w:val="20"/>
          <w:szCs w:val="20"/>
          <w:color w:val="auto"/>
        </w:rPr>
      </w:pPr>
      <w:r>
        <w:rPr>
          <w:rFonts w:ascii="Times New Roman" w:cs="Times New Roman" w:eastAsia="Times New Roman" w:hAnsi="Times New Roman"/>
          <w:sz w:val="18"/>
          <w:szCs w:val="18"/>
          <w:color w:val="auto"/>
        </w:rPr>
        <w:t>The international pension plans primarily consist of the IPC Plan. All IPC Plan participants are covered by the annuity contracts referenced above, which are held with a private limited life insurance company. As described above, the full benefits under the plan have been annuitized, which resulted in the limited change in the (under) over funded status of the international plans during the years ended December 31, 2024 and 2023.</w:t>
      </w:r>
    </w:p>
    <w:p>
      <w:pPr>
        <w:spacing w:after="0" w:line="1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Balance Sheet Classification</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amounts are recognized in the December 31, 2024 and 2023 balance sheet, respectively:</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4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
        </w:trPr>
        <w:tc>
          <w:tcPr>
            <w:tcW w:w="3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3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92"/>
        </w:trPr>
        <w:tc>
          <w:tcPr>
            <w:tcW w:w="3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Post-Retirement</w:t>
            </w:r>
          </w:p>
        </w:tc>
        <w:tc>
          <w:tcPr>
            <w:tcW w:w="22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w w:val="99"/>
              </w:rPr>
              <w:t>Post-Retirement</w:t>
            </w:r>
          </w:p>
        </w:tc>
      </w:tr>
      <w:tr>
        <w:trPr>
          <w:trHeight w:val="23"/>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90"/>
        </w:trPr>
        <w:tc>
          <w:tcPr>
            <w:tcW w:w="3340" w:type="dxa"/>
            <w:vAlign w:val="bottom"/>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Domestic</w:t>
            </w:r>
          </w:p>
        </w:tc>
        <w:tc>
          <w:tcPr>
            <w:tcW w:w="2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00" w:type="dxa"/>
            <w:vAlign w:val="bottom"/>
            <w:tcBorders>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Domestic</w:t>
            </w:r>
          </w:p>
        </w:tc>
        <w:tc>
          <w:tcPr>
            <w:tcW w:w="100" w:type="dxa"/>
            <w:vAlign w:val="bottom"/>
            <w:tcBorders>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Domestic</w:t>
            </w:r>
          </w:p>
        </w:tc>
        <w:tc>
          <w:tcPr>
            <w:tcW w:w="20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00" w:type="dxa"/>
            <w:vAlign w:val="bottom"/>
            <w:tcBorders>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Domestic</w:t>
            </w:r>
          </w:p>
        </w:tc>
      </w:tr>
      <w:tr>
        <w:trPr>
          <w:trHeight w:val="196"/>
        </w:trPr>
        <w:tc>
          <w:tcPr>
            <w:tcW w:w="3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4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6"/>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current assets</w:t>
            </w: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30"/>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benefit cost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non-current assets</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benefit cost</w:t>
            </w:r>
          </w:p>
        </w:tc>
        <w:tc>
          <w:tcPr>
            <w:tcW w:w="22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6"/>
        </w:trPr>
        <w:tc>
          <w:tcPr>
            <w:tcW w:w="33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Accrued expenses and other current</w:t>
            </w: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43"/>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30"/>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benefit liability</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r>
      <w:tr>
        <w:trPr>
          <w:trHeight w:val="22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long-term liabilities</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benefit liability</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(3,815)</w:t>
            </w:r>
          </w:p>
        </w:tc>
      </w:tr>
      <w:tr>
        <w:trPr>
          <w:trHeight w:val="248"/>
        </w:trPr>
        <w:tc>
          <w:tcPr>
            <w:tcW w:w="3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amount recognized</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(4,248)</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400" w:firstLine="405"/>
        <w:spacing w:after="0" w:line="266" w:lineRule="auto"/>
        <w:rPr>
          <w:sz w:val="20"/>
          <w:szCs w:val="20"/>
          <w:color w:val="auto"/>
        </w:rPr>
      </w:pPr>
      <w:r>
        <w:rPr>
          <w:rFonts w:ascii="Times New Roman" w:cs="Times New Roman" w:eastAsia="Times New Roman" w:hAnsi="Times New Roman"/>
          <w:sz w:val="18"/>
          <w:szCs w:val="18"/>
          <w:color w:val="auto"/>
        </w:rPr>
        <w:t>The accumulated benefit obligation for the domestic defined benefit pension plans was $3.6 million and $56.1 million at December 31, 2024 and 2023, respectively. The accumulated benefit obligation for the international defined benefit pension plans was $420.6 million and $488.3 million at December 31, 2024 and 2023, respectively.</w:t>
      </w:r>
    </w:p>
    <w:p>
      <w:pPr>
        <w:spacing w:after="0" w:line="1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Accumulated and Projected Benefit Obligations</w:t>
      </w:r>
    </w:p>
    <w:p>
      <w:pPr>
        <w:spacing w:after="0" w:line="229"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pension plans with projected benefit obligations and accumulated benefit obligations in excess of plan assets: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56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56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140" w:type="dxa"/>
            <w:vAlign w:val="bottom"/>
            <w:tcBorders>
              <w:bottom w:val="single" w:sz="8" w:color="auto"/>
            </w:tcBorders>
          </w:tcPr>
          <w:p>
            <w:pPr>
              <w:spacing w:after="0"/>
              <w:rPr>
                <w:sz w:val="16"/>
                <w:szCs w:val="16"/>
                <w:color w:val="auto"/>
              </w:rPr>
            </w:pPr>
          </w:p>
        </w:tc>
      </w:tr>
      <w:tr>
        <w:trPr>
          <w:trHeight w:val="196"/>
        </w:trPr>
        <w:tc>
          <w:tcPr>
            <w:tcW w:w="56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Domestic</w:t>
            </w: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w w:val="97"/>
              </w:rPr>
              <w:t>Domestic</w:t>
            </w: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International</w:t>
            </w:r>
          </w:p>
        </w:tc>
      </w:tr>
      <w:tr>
        <w:trPr>
          <w:trHeight w:val="196"/>
        </w:trPr>
        <w:tc>
          <w:tcPr>
            <w:tcW w:w="5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80" w:type="dxa"/>
            <w:vAlign w:val="bottom"/>
            <w:gridSpan w:val="4"/>
          </w:tcPr>
          <w:p>
            <w:pPr>
              <w:jc w:val="right"/>
              <w:ind w:right="85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6"/>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3,632</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3,938</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4,939</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4,419</w:t>
            </w:r>
          </w:p>
        </w:tc>
      </w:tr>
      <w:tr>
        <w:trPr>
          <w:trHeight w:val="23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3,632</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3,938</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4,290</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4,419</w:t>
            </w:r>
          </w:p>
        </w:tc>
      </w:tr>
      <w:tr>
        <w:trPr>
          <w:trHeight w:val="23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IAC INC. AND SUBSIDIARIES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Costs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components of net periodic benefit (credit) cost recognized in the statement of operations were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80" w:type="dxa"/>
            <w:vAlign w:val="bottom"/>
            <w:gridSpan w:val="8"/>
          </w:tcPr>
          <w:p>
            <w:pPr>
              <w:ind w:left="460"/>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120" w:type="dxa"/>
            <w:vAlign w:val="bottom"/>
          </w:tcPr>
          <w:p>
            <w:pPr>
              <w:spacing w:after="0"/>
              <w:rPr>
                <w:sz w:val="16"/>
                <w:szCs w:val="16"/>
                <w:color w:val="auto"/>
              </w:rPr>
            </w:pPr>
          </w:p>
        </w:tc>
        <w:tc>
          <w:tcPr>
            <w:tcW w:w="3080" w:type="dxa"/>
            <w:vAlign w:val="bottom"/>
            <w:gridSpan w:val="8"/>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120" w:type="dxa"/>
            <w:vAlign w:val="bottom"/>
          </w:tcPr>
          <w:p>
            <w:pPr>
              <w:spacing w:after="0"/>
              <w:rPr>
                <w:sz w:val="16"/>
                <w:szCs w:val="16"/>
                <w:color w:val="auto"/>
              </w:rPr>
            </w:pPr>
          </w:p>
        </w:tc>
        <w:tc>
          <w:tcPr>
            <w:tcW w:w="3000" w:type="dxa"/>
            <w:vAlign w:val="bottom"/>
            <w:gridSpan w:val="7"/>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0" w:type="dxa"/>
            <w:vAlign w:val="bottom"/>
          </w:tcPr>
          <w:p>
            <w:pPr>
              <w:spacing w:after="0"/>
              <w:rPr>
                <w:sz w:val="1"/>
                <w:szCs w:val="1"/>
                <w:color w:val="auto"/>
              </w:rPr>
            </w:pPr>
          </w:p>
        </w:tc>
      </w:tr>
      <w:tr>
        <w:trPr>
          <w:trHeight w:val="23"/>
        </w:trPr>
        <w:tc>
          <w:tcPr>
            <w:tcW w:w="1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17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020" w:type="dxa"/>
            <w:vAlign w:val="bottom"/>
            <w:tcBorders>
              <w:top w:val="single" w:sz="8" w:color="auto"/>
            </w:tcBorders>
            <w:gridSpan w:val="5"/>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1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ind w:right="35"/>
              <w:spacing w:after="0" w:line="131" w:lineRule="exact"/>
              <w:rPr>
                <w:sz w:val="20"/>
                <w:szCs w:val="20"/>
                <w:color w:val="auto"/>
              </w:rPr>
            </w:pPr>
            <w:r>
              <w:rPr>
                <w:rFonts w:ascii="Times New Roman" w:cs="Times New Roman" w:eastAsia="Times New Roman" w:hAnsi="Times New Roman"/>
                <w:sz w:val="14"/>
                <w:szCs w:val="14"/>
                <w:b w:val="1"/>
                <w:bCs w:val="1"/>
                <w:color w:val="auto"/>
              </w:rPr>
              <w:t>Post-</w:t>
            </w: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020" w:type="dxa"/>
            <w:vAlign w:val="bottom"/>
            <w:tcBorders>
              <w:top w:val="single" w:sz="8" w:color="auto"/>
            </w:tcBorders>
            <w:gridSpan w:val="5"/>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1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ind w:right="35"/>
              <w:spacing w:after="0" w:line="131" w:lineRule="exact"/>
              <w:rPr>
                <w:sz w:val="20"/>
                <w:szCs w:val="20"/>
                <w:color w:val="auto"/>
              </w:rPr>
            </w:pPr>
            <w:r>
              <w:rPr>
                <w:rFonts w:ascii="Times New Roman" w:cs="Times New Roman" w:eastAsia="Times New Roman" w:hAnsi="Times New Roman"/>
                <w:sz w:val="14"/>
                <w:szCs w:val="14"/>
                <w:b w:val="1"/>
                <w:bCs w:val="1"/>
                <w:color w:val="auto"/>
              </w:rPr>
              <w:t>Post-</w:t>
            </w: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020" w:type="dxa"/>
            <w:vAlign w:val="bottom"/>
            <w:tcBorders>
              <w:top w:val="single" w:sz="8" w:color="auto"/>
            </w:tcBorders>
            <w:gridSpan w:val="5"/>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1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ind w:right="55"/>
              <w:spacing w:after="0" w:line="131" w:lineRule="exact"/>
              <w:rPr>
                <w:sz w:val="20"/>
                <w:szCs w:val="20"/>
                <w:color w:val="auto"/>
              </w:rPr>
            </w:pPr>
            <w:r>
              <w:rPr>
                <w:rFonts w:ascii="Times New Roman" w:cs="Times New Roman" w:eastAsia="Times New Roman" w:hAnsi="Times New Roman"/>
                <w:sz w:val="14"/>
                <w:szCs w:val="14"/>
                <w:b w:val="1"/>
                <w:bCs w:val="1"/>
                <w:color w:val="auto"/>
                <w:w w:val="98"/>
              </w:rPr>
              <w:t>Post-</w:t>
            </w:r>
          </w:p>
        </w:tc>
        <w:tc>
          <w:tcPr>
            <w:tcW w:w="0" w:type="dxa"/>
            <w:vAlign w:val="bottom"/>
          </w:tcPr>
          <w:p>
            <w:pPr>
              <w:spacing w:after="0"/>
              <w:rPr>
                <w:sz w:val="1"/>
                <w:szCs w:val="1"/>
                <w:color w:val="auto"/>
              </w:rPr>
            </w:pPr>
          </w:p>
        </w:tc>
      </w:tr>
      <w:tr>
        <w:trPr>
          <w:trHeight w:val="195"/>
        </w:trPr>
        <w:tc>
          <w:tcPr>
            <w:tcW w:w="1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20" w:type="dxa"/>
            <w:vAlign w:val="bottom"/>
            <w:gridSpan w:val="5"/>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Retirement</w:t>
            </w:r>
          </w:p>
        </w:tc>
        <w:tc>
          <w:tcPr>
            <w:tcW w:w="120" w:type="dxa"/>
            <w:vAlign w:val="bottom"/>
          </w:tcPr>
          <w:p>
            <w:pPr>
              <w:spacing w:after="0"/>
              <w:rPr>
                <w:sz w:val="16"/>
                <w:szCs w:val="16"/>
                <w:color w:val="auto"/>
              </w:rPr>
            </w:pPr>
          </w:p>
        </w:tc>
        <w:tc>
          <w:tcPr>
            <w:tcW w:w="2020" w:type="dxa"/>
            <w:vAlign w:val="bottom"/>
            <w:gridSpan w:val="5"/>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Retirement</w:t>
            </w:r>
          </w:p>
        </w:tc>
        <w:tc>
          <w:tcPr>
            <w:tcW w:w="120" w:type="dxa"/>
            <w:vAlign w:val="bottom"/>
          </w:tcPr>
          <w:p>
            <w:pPr>
              <w:spacing w:after="0"/>
              <w:rPr>
                <w:sz w:val="16"/>
                <w:szCs w:val="16"/>
                <w:color w:val="auto"/>
              </w:rPr>
            </w:pPr>
          </w:p>
        </w:tc>
        <w:tc>
          <w:tcPr>
            <w:tcW w:w="2020" w:type="dxa"/>
            <w:vAlign w:val="bottom"/>
            <w:gridSpan w:val="5"/>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Retirement</w:t>
            </w:r>
          </w:p>
        </w:tc>
        <w:tc>
          <w:tcPr>
            <w:tcW w:w="0" w:type="dxa"/>
            <w:vAlign w:val="bottom"/>
          </w:tcPr>
          <w:p>
            <w:pPr>
              <w:spacing w:after="0"/>
              <w:rPr>
                <w:sz w:val="1"/>
                <w:szCs w:val="1"/>
                <w:color w:val="auto"/>
              </w:rPr>
            </w:pPr>
          </w:p>
        </w:tc>
      </w:tr>
      <w:tr>
        <w:trPr>
          <w:trHeight w:val="195"/>
        </w:trPr>
        <w:tc>
          <w:tcPr>
            <w:tcW w:w="170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Domestic</w:t>
            </w:r>
          </w:p>
        </w:tc>
        <w:tc>
          <w:tcPr>
            <w:tcW w:w="12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00" w:type="dxa"/>
            <w:vAlign w:val="bottom"/>
            <w:tcBorders>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Domestic</w:t>
            </w:r>
          </w:p>
        </w:tc>
        <w:tc>
          <w:tcPr>
            <w:tcW w:w="100" w:type="dxa"/>
            <w:vAlign w:val="bottom"/>
            <w:tcBorders>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Domestic</w:t>
            </w:r>
          </w:p>
        </w:tc>
        <w:tc>
          <w:tcPr>
            <w:tcW w:w="12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00" w:type="dxa"/>
            <w:vAlign w:val="bottom"/>
            <w:tcBorders>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Domestic</w:t>
            </w:r>
          </w:p>
        </w:tc>
        <w:tc>
          <w:tcPr>
            <w:tcW w:w="100" w:type="dxa"/>
            <w:vAlign w:val="bottom"/>
            <w:tcBorders>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Domestic</w:t>
            </w:r>
          </w:p>
        </w:tc>
        <w:tc>
          <w:tcPr>
            <w:tcW w:w="14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80" w:type="dxa"/>
            <w:vAlign w:val="bottom"/>
            <w:tcBorders>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Domestic</w:t>
            </w:r>
          </w:p>
        </w:tc>
        <w:tc>
          <w:tcPr>
            <w:tcW w:w="0" w:type="dxa"/>
            <w:vAlign w:val="bottom"/>
          </w:tcPr>
          <w:p>
            <w:pPr>
              <w:spacing w:after="0"/>
              <w:rPr>
                <w:sz w:val="1"/>
                <w:szCs w:val="1"/>
                <w:color w:val="auto"/>
              </w:rPr>
            </w:pPr>
          </w:p>
        </w:tc>
      </w:tr>
      <w:tr>
        <w:trPr>
          <w:trHeight w:val="196"/>
        </w:trPr>
        <w:tc>
          <w:tcPr>
            <w:tcW w:w="1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3,562</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9"/>
        </w:trPr>
        <w:tc>
          <w:tcPr>
            <w:tcW w:w="1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19,610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176"/>
        </w:trPr>
        <w:tc>
          <w:tcPr>
            <w:tcW w:w="17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Expected return on</w:t>
            </w: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 assets</w:t>
            </w: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(2,748)</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(16,857)</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17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Actuarial (gain) loss</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recognition</w:t>
            </w: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208,957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(3,717)</w:t>
            </w:r>
          </w:p>
        </w:tc>
        <w:tc>
          <w:tcPr>
            <w:tcW w:w="0" w:type="dxa"/>
            <w:vAlign w:val="bottom"/>
          </w:tcPr>
          <w:p>
            <w:pPr>
              <w:spacing w:after="0"/>
              <w:rPr>
                <w:sz w:val="1"/>
                <w:szCs w:val="1"/>
                <w:color w:val="auto"/>
              </w:rPr>
            </w:pPr>
          </w:p>
        </w:tc>
      </w:tr>
      <w:tr>
        <w:trPr>
          <w:trHeight w:val="230"/>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(3,037)</w:t>
            </w:r>
          </w:p>
        </w:tc>
        <w:tc>
          <w:tcPr>
            <w:tcW w:w="0" w:type="dxa"/>
            <w:vAlign w:val="bottom"/>
          </w:tcPr>
          <w:p>
            <w:pPr>
              <w:spacing w:after="0"/>
              <w:rPr>
                <w:sz w:val="1"/>
                <w:szCs w:val="1"/>
                <w:color w:val="auto"/>
              </w:rPr>
            </w:pPr>
          </w:p>
        </w:tc>
      </w:tr>
      <w:tr>
        <w:trPr>
          <w:trHeight w:val="257"/>
        </w:trPr>
        <w:tc>
          <w:tcPr>
            <w:tcW w:w="1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Curtailment gain</w:t>
            </w:r>
          </w:p>
        </w:tc>
        <w:tc>
          <w:tcPr>
            <w:tcW w:w="1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(3,060)</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5"/>
        </w:trPr>
        <w:tc>
          <w:tcPr>
            <w:tcW w:w="170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Net periodic benefit</w:t>
            </w: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(6,561)</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9,362</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207,114</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(6,485)</w:t>
            </w:r>
          </w:p>
        </w:tc>
        <w:tc>
          <w:tcPr>
            <w:tcW w:w="0" w:type="dxa"/>
            <w:vAlign w:val="bottom"/>
          </w:tcPr>
          <w:p>
            <w:pPr>
              <w:spacing w:after="0"/>
              <w:rPr>
                <w:sz w:val="1"/>
                <w:szCs w:val="1"/>
                <w:color w:val="auto"/>
              </w:rPr>
            </w:pPr>
          </w:p>
        </w:tc>
      </w:tr>
      <w:tr>
        <w:trPr>
          <w:trHeight w:val="236"/>
        </w:trPr>
        <w:tc>
          <w:tcPr>
            <w:tcW w:w="1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cost</w:t>
            </w: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right="120" w:firstLine="405"/>
        <w:spacing w:after="0"/>
        <w:rPr>
          <w:sz w:val="20"/>
          <w:szCs w:val="20"/>
          <w:color w:val="auto"/>
        </w:rPr>
      </w:pPr>
      <w:r>
        <w:rPr>
          <w:rFonts w:ascii="Times New Roman" w:cs="Times New Roman" w:eastAsia="Times New Roman" w:hAnsi="Times New Roman"/>
          <w:sz w:val="18"/>
          <w:szCs w:val="18"/>
          <w:color w:val="auto"/>
        </w:rPr>
        <w:t>The domestic pension plans actuarial gain for the year ended December 31, 2024 primarily relates to the final annuity contract pricing and lump sum payments for the funded plan, partially offset by investment performance and plan expenses. The curtailment gain was triggered by the freeze of the unfunded plan discussed above. For the domestic pension and post-retirement plans, the curtailment and settlement gains during the year ended December 31, 2022 were triggered by the freeze and termination events described above, as well as the discontinuation of a life insurance plan.</w:t>
      </w:r>
    </w:p>
    <w:p>
      <w:pPr>
        <w:spacing w:after="0" w:line="185" w:lineRule="exact"/>
        <w:rPr>
          <w:sz w:val="20"/>
          <w:szCs w:val="20"/>
          <w:color w:val="auto"/>
        </w:rPr>
      </w:pPr>
    </w:p>
    <w:p>
      <w:pPr>
        <w:ind w:right="160" w:firstLine="405"/>
        <w:spacing w:after="0" w:line="266" w:lineRule="auto"/>
        <w:rPr>
          <w:sz w:val="20"/>
          <w:szCs w:val="20"/>
          <w:color w:val="auto"/>
        </w:rPr>
      </w:pPr>
      <w:r>
        <w:rPr>
          <w:rFonts w:ascii="Times New Roman" w:cs="Times New Roman" w:eastAsia="Times New Roman" w:hAnsi="Times New Roman"/>
          <w:sz w:val="18"/>
          <w:szCs w:val="18"/>
          <w:color w:val="auto"/>
        </w:rPr>
        <w:t>The international pension plans actuarial loss for the year ended December 31, 2022 is the result of higher interest rates with the decline in the value of plan assets exceeding the benefit of the reduction in the plan obligation.</w:t>
      </w:r>
    </w:p>
    <w:p>
      <w:pPr>
        <w:spacing w:after="0" w:line="162" w:lineRule="exact"/>
        <w:rPr>
          <w:sz w:val="20"/>
          <w:szCs w:val="20"/>
          <w:color w:val="auto"/>
        </w:rPr>
      </w:pPr>
    </w:p>
    <w:p>
      <w:pPr>
        <w:ind w:right="420" w:firstLine="405"/>
        <w:spacing w:after="0" w:line="266" w:lineRule="auto"/>
        <w:rPr>
          <w:sz w:val="20"/>
          <w:szCs w:val="20"/>
          <w:color w:val="auto"/>
        </w:rPr>
      </w:pPr>
      <w:r>
        <w:rPr>
          <w:rFonts w:ascii="Times New Roman" w:cs="Times New Roman" w:eastAsia="Times New Roman" w:hAnsi="Times New Roman"/>
          <w:sz w:val="18"/>
          <w:szCs w:val="18"/>
          <w:color w:val="auto"/>
        </w:rPr>
        <w:t>The components of net periodic benefit (credit) cost, other than the service cost component, are included in “Other income (expense), net” in the statement of operations.</w:t>
      </w:r>
    </w:p>
    <w:p>
      <w:pPr>
        <w:spacing w:after="0" w:line="1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Assumptions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Benefit obligations were determined using the following weighted average assumptions: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40" w:type="dxa"/>
            <w:vAlign w:val="bottom"/>
          </w:tcPr>
          <w:p>
            <w:pPr>
              <w:spacing w:after="0"/>
              <w:rPr>
                <w:sz w:val="16"/>
                <w:szCs w:val="16"/>
                <w:color w:val="auto"/>
              </w:rPr>
            </w:pPr>
          </w:p>
        </w:tc>
        <w:tc>
          <w:tcPr>
            <w:tcW w:w="3100" w:type="dxa"/>
            <w:vAlign w:val="bottom"/>
            <w:gridSpan w:val="6"/>
          </w:tcPr>
          <w:p>
            <w:pPr>
              <w:ind w:left="1180"/>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140" w:type="dxa"/>
            <w:vAlign w:val="bottom"/>
            <w:gridSpan w:val="6"/>
          </w:tcPr>
          <w:p>
            <w:pPr>
              <w:ind w:left="1220"/>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1200" w:type="dxa"/>
            <w:vAlign w:val="bottom"/>
          </w:tcPr>
          <w:p>
            <w:pPr>
              <w:spacing w:after="0"/>
              <w:rPr>
                <w:sz w:val="16"/>
                <w:szCs w:val="16"/>
                <w:color w:val="auto"/>
              </w:rPr>
            </w:pPr>
          </w:p>
        </w:tc>
      </w:tr>
      <w:tr>
        <w:trPr>
          <w:trHeight w:val="23"/>
        </w:trPr>
        <w:tc>
          <w:tcPr>
            <w:tcW w:w="2540" w:type="dxa"/>
            <w:vAlign w:val="bottom"/>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6"/>
        </w:trPr>
        <w:tc>
          <w:tcPr>
            <w:tcW w:w="2540" w:type="dxa"/>
            <w:vAlign w:val="bottom"/>
          </w:tcPr>
          <w:p>
            <w:pPr>
              <w:spacing w:after="0"/>
              <w:rPr>
                <w:sz w:val="16"/>
                <w:szCs w:val="16"/>
                <w:color w:val="auto"/>
              </w:rPr>
            </w:pPr>
          </w:p>
        </w:tc>
        <w:tc>
          <w:tcPr>
            <w:tcW w:w="1680" w:type="dxa"/>
            <w:vAlign w:val="bottom"/>
            <w:gridSpan w:val="3"/>
          </w:tcPr>
          <w:p>
            <w:pPr>
              <w:ind w:left="1180"/>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Post-Retirement</w:t>
            </w:r>
          </w:p>
        </w:tc>
        <w:tc>
          <w:tcPr>
            <w:tcW w:w="1720" w:type="dxa"/>
            <w:vAlign w:val="bottom"/>
            <w:gridSpan w:val="3"/>
          </w:tcPr>
          <w:p>
            <w:pPr>
              <w:ind w:left="1200"/>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Post-Retirement</w:t>
            </w:r>
          </w:p>
        </w:tc>
      </w:tr>
      <w:tr>
        <w:trPr>
          <w:trHeight w:val="23"/>
        </w:trPr>
        <w:tc>
          <w:tcPr>
            <w:tcW w:w="2540" w:type="dxa"/>
            <w:vAlign w:val="bottom"/>
          </w:tcPr>
          <w:p>
            <w:pPr>
              <w:spacing w:after="0"/>
              <w:rPr>
                <w:sz w:val="2"/>
                <w:szCs w:val="2"/>
                <w:color w:val="auto"/>
              </w:rPr>
            </w:pPr>
          </w:p>
        </w:tc>
        <w:tc>
          <w:tcPr>
            <w:tcW w:w="1680" w:type="dxa"/>
            <w:vAlign w:val="bottom"/>
            <w:gridSpan w:val="3"/>
          </w:tcPr>
          <w:p>
            <w:pPr>
              <w:spacing w:after="0"/>
              <w:rPr>
                <w:sz w:val="2"/>
                <w:szCs w:val="2"/>
                <w:color w:val="auto"/>
              </w:rPr>
            </w:pPr>
          </w:p>
        </w:tc>
        <w:tc>
          <w:tcPr>
            <w:tcW w:w="1420" w:type="dxa"/>
            <w:vAlign w:val="bottom"/>
            <w:gridSpan w:val="3"/>
          </w:tcPr>
          <w:p>
            <w:pPr>
              <w:spacing w:after="0"/>
              <w:rPr>
                <w:sz w:val="2"/>
                <w:szCs w:val="2"/>
                <w:color w:val="auto"/>
              </w:rPr>
            </w:pPr>
          </w:p>
        </w:tc>
        <w:tc>
          <w:tcPr>
            <w:tcW w:w="1260" w:type="dxa"/>
            <w:vAlign w:val="bottom"/>
            <w:gridSpan w:val="2"/>
          </w:tcPr>
          <w:p>
            <w:pPr>
              <w:spacing w:after="0"/>
              <w:rPr>
                <w:sz w:val="2"/>
                <w:szCs w:val="2"/>
                <w:color w:val="auto"/>
              </w:rPr>
            </w:pPr>
          </w:p>
        </w:tc>
        <w:tc>
          <w:tcPr>
            <w:tcW w:w="1720" w:type="dxa"/>
            <w:vAlign w:val="bottom"/>
            <w:gridSpan w:val="3"/>
          </w:tcPr>
          <w:p>
            <w:pPr>
              <w:spacing w:after="0"/>
              <w:rPr>
                <w:sz w:val="2"/>
                <w:szCs w:val="2"/>
                <w:color w:val="auto"/>
              </w:rPr>
            </w:pPr>
          </w:p>
        </w:tc>
        <w:tc>
          <w:tcPr>
            <w:tcW w:w="1420" w:type="dxa"/>
            <w:vAlign w:val="bottom"/>
            <w:gridSpan w:val="3"/>
          </w:tcPr>
          <w:p>
            <w:pPr>
              <w:spacing w:after="0"/>
              <w:rPr>
                <w:sz w:val="2"/>
                <w:szCs w:val="2"/>
                <w:color w:val="auto"/>
              </w:rPr>
            </w:pPr>
          </w:p>
        </w:tc>
        <w:tc>
          <w:tcPr>
            <w:tcW w:w="1200" w:type="dxa"/>
            <w:vAlign w:val="bottom"/>
          </w:tcPr>
          <w:p>
            <w:pPr>
              <w:spacing w:after="0"/>
              <w:rPr>
                <w:sz w:val="2"/>
                <w:szCs w:val="2"/>
                <w:color w:val="auto"/>
              </w:rPr>
            </w:pPr>
          </w:p>
        </w:tc>
      </w:tr>
      <w:tr>
        <w:trPr>
          <w:trHeight w:val="190"/>
        </w:trPr>
        <w:tc>
          <w:tcPr>
            <w:tcW w:w="2540" w:type="dxa"/>
            <w:vAlign w:val="bottom"/>
          </w:tcPr>
          <w:p>
            <w:pPr>
              <w:spacing w:after="0"/>
              <w:rPr>
                <w:sz w:val="16"/>
                <w:szCs w:val="16"/>
                <w:color w:val="auto"/>
              </w:rPr>
            </w:pPr>
          </w:p>
        </w:tc>
        <w:tc>
          <w:tcPr>
            <w:tcW w:w="1680" w:type="dxa"/>
            <w:vAlign w:val="bottom"/>
            <w:tcBorders>
              <w:top w:val="single" w:sz="8" w:color="auto"/>
            </w:tcBorders>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Domestic</w:t>
            </w:r>
          </w:p>
        </w:tc>
        <w:tc>
          <w:tcPr>
            <w:tcW w:w="1140" w:type="dxa"/>
            <w:vAlign w:val="bottom"/>
            <w:tcBorders>
              <w:top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Domestic</w:t>
            </w:r>
          </w:p>
        </w:tc>
        <w:tc>
          <w:tcPr>
            <w:tcW w:w="80" w:type="dxa"/>
            <w:vAlign w:val="bottom"/>
          </w:tcPr>
          <w:p>
            <w:pPr>
              <w:spacing w:after="0"/>
              <w:rPr>
                <w:sz w:val="16"/>
                <w:szCs w:val="16"/>
                <w:color w:val="auto"/>
              </w:rPr>
            </w:pPr>
          </w:p>
        </w:tc>
        <w:tc>
          <w:tcPr>
            <w:tcW w:w="1720" w:type="dxa"/>
            <w:vAlign w:val="bottom"/>
            <w:tcBorders>
              <w:top w:val="single" w:sz="8" w:color="auto"/>
            </w:tcBorders>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Domestic</w:t>
            </w:r>
          </w:p>
        </w:tc>
        <w:tc>
          <w:tcPr>
            <w:tcW w:w="1160" w:type="dxa"/>
            <w:vAlign w:val="bottom"/>
            <w:tcBorders>
              <w:top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Domestic</w:t>
            </w:r>
          </w:p>
        </w:tc>
      </w:tr>
      <w:tr>
        <w:trPr>
          <w:trHeight w:val="243"/>
        </w:trPr>
        <w:tc>
          <w:tcPr>
            <w:tcW w:w="2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5.27 %</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4.99 %</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5.55 %</w:t>
            </w:r>
          </w:p>
        </w:tc>
        <w:tc>
          <w:tcPr>
            <w:tcW w:w="80" w:type="dxa"/>
            <w:vAlign w:val="bottom"/>
            <w:tcBorders>
              <w:top w:val="single" w:sz="8" w:color="CCEEFF"/>
            </w:tcBorders>
            <w:shd w:val="clear" w:color="auto" w:fill="CCEEFF"/>
          </w:tcPr>
          <w:p>
            <w:pPr>
              <w:spacing w:after="0"/>
              <w:rPr>
                <w:sz w:val="21"/>
                <w:szCs w:val="21"/>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5.19 %</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4.06 %</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5.11 %</w:t>
            </w:r>
          </w:p>
        </w:tc>
      </w:tr>
      <w:tr>
        <w:trPr>
          <w:trHeight w:val="230"/>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N/A</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3.50 %</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N/A</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3.50 %</w:t>
            </w:r>
          </w:p>
        </w:tc>
      </w:tr>
      <w:tr>
        <w:trPr>
          <w:trHeight w:val="230"/>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balance interest credit rate</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N/A</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N/A</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IAC INC. AND SUBSIDIARIES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Net periodic benefit (credit) cost were determined using the following weighted average assumptions: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420" w:type="dxa"/>
            <w:vAlign w:val="bottom"/>
          </w:tcPr>
          <w:p>
            <w:pPr>
              <w:spacing w:after="0"/>
              <w:rPr>
                <w:sz w:val="16"/>
                <w:szCs w:val="16"/>
                <w:color w:val="auto"/>
              </w:rPr>
            </w:pPr>
          </w:p>
        </w:tc>
        <w:tc>
          <w:tcPr>
            <w:tcW w:w="3280" w:type="dxa"/>
            <w:vAlign w:val="bottom"/>
            <w:gridSpan w:val="6"/>
          </w:tcPr>
          <w:p>
            <w:pPr>
              <w:ind w:left="620"/>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3320" w:type="dxa"/>
            <w:vAlign w:val="bottom"/>
            <w:gridSpan w:val="6"/>
          </w:tcPr>
          <w:p>
            <w:pPr>
              <w:ind w:left="640"/>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3220" w:type="dxa"/>
            <w:vAlign w:val="bottom"/>
            <w:gridSpan w:val="4"/>
          </w:tcPr>
          <w:p>
            <w:pPr>
              <w:jc w:val="right"/>
              <w:ind w:right="583"/>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0" w:type="dxa"/>
            <w:vAlign w:val="bottom"/>
          </w:tcPr>
          <w:p>
            <w:pPr>
              <w:spacing w:after="0"/>
              <w:rPr>
                <w:sz w:val="1"/>
                <w:szCs w:val="1"/>
                <w:color w:val="auto"/>
              </w:rPr>
            </w:pPr>
          </w:p>
        </w:tc>
      </w:tr>
      <w:tr>
        <w:trPr>
          <w:trHeight w:val="23"/>
        </w:trPr>
        <w:tc>
          <w:tcPr>
            <w:tcW w:w="1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1420" w:type="dxa"/>
            <w:vAlign w:val="bottom"/>
          </w:tcPr>
          <w:p>
            <w:pPr>
              <w:spacing w:after="0"/>
              <w:rPr>
                <w:sz w:val="11"/>
                <w:szCs w:val="11"/>
                <w:color w:val="auto"/>
              </w:rPr>
            </w:pPr>
          </w:p>
        </w:tc>
        <w:tc>
          <w:tcPr>
            <w:tcW w:w="2220" w:type="dxa"/>
            <w:vAlign w:val="bottom"/>
            <w:tcBorders>
              <w:top w:val="single" w:sz="8" w:color="auto"/>
            </w:tcBorders>
            <w:gridSpan w:val="4"/>
            <w:vMerge w:val="restart"/>
          </w:tcPr>
          <w:p>
            <w:pPr>
              <w:ind w:left="820"/>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96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Post-</w:t>
            </w:r>
          </w:p>
        </w:tc>
        <w:tc>
          <w:tcPr>
            <w:tcW w:w="100" w:type="dxa"/>
            <w:vAlign w:val="bottom"/>
          </w:tcPr>
          <w:p>
            <w:pPr>
              <w:spacing w:after="0"/>
              <w:rPr>
                <w:sz w:val="11"/>
                <w:szCs w:val="11"/>
                <w:color w:val="auto"/>
              </w:rPr>
            </w:pPr>
          </w:p>
        </w:tc>
        <w:tc>
          <w:tcPr>
            <w:tcW w:w="2240" w:type="dxa"/>
            <w:vAlign w:val="bottom"/>
            <w:tcBorders>
              <w:top w:val="single" w:sz="8" w:color="auto"/>
            </w:tcBorders>
            <w:gridSpan w:val="4"/>
            <w:vMerge w:val="restart"/>
          </w:tcPr>
          <w:p>
            <w:pPr>
              <w:ind w:left="840"/>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98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8"/>
              </w:rPr>
              <w:t>Post-</w:t>
            </w:r>
          </w:p>
        </w:tc>
        <w:tc>
          <w:tcPr>
            <w:tcW w:w="100" w:type="dxa"/>
            <w:vAlign w:val="bottom"/>
          </w:tcPr>
          <w:p>
            <w:pPr>
              <w:spacing w:after="0"/>
              <w:rPr>
                <w:sz w:val="11"/>
                <w:szCs w:val="11"/>
                <w:color w:val="auto"/>
              </w:rPr>
            </w:pPr>
          </w:p>
        </w:tc>
        <w:tc>
          <w:tcPr>
            <w:tcW w:w="2240" w:type="dxa"/>
            <w:vAlign w:val="bottom"/>
            <w:tcBorders>
              <w:top w:val="single" w:sz="8" w:color="auto"/>
            </w:tcBorders>
            <w:gridSpan w:val="3"/>
            <w:vMerge w:val="restart"/>
          </w:tcPr>
          <w:p>
            <w:pPr>
              <w:ind w:left="840"/>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98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8"/>
              </w:rPr>
              <w:t>Post-</w:t>
            </w: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2220" w:type="dxa"/>
            <w:vAlign w:val="bottom"/>
            <w:gridSpan w:val="4"/>
            <w:vMerge w:val="continue"/>
          </w:tcPr>
          <w:p>
            <w:pPr>
              <w:spacing w:after="0"/>
              <w:rPr>
                <w:sz w:val="17"/>
                <w:szCs w:val="17"/>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Retirement</w:t>
            </w:r>
          </w:p>
        </w:tc>
        <w:tc>
          <w:tcPr>
            <w:tcW w:w="2240" w:type="dxa"/>
            <w:vAlign w:val="bottom"/>
            <w:gridSpan w:val="4"/>
            <w:vMerge w:val="continue"/>
          </w:tcPr>
          <w:p>
            <w:pPr>
              <w:spacing w:after="0"/>
              <w:rPr>
                <w:sz w:val="17"/>
                <w:szCs w:val="17"/>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Retirement</w:t>
            </w:r>
          </w:p>
        </w:tc>
        <w:tc>
          <w:tcPr>
            <w:tcW w:w="2240" w:type="dxa"/>
            <w:vAlign w:val="bottom"/>
            <w:gridSpan w:val="3"/>
            <w:vMerge w:val="continue"/>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Retirement</w:t>
            </w: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98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Domestic</w:t>
            </w:r>
          </w:p>
        </w:tc>
        <w:tc>
          <w:tcPr>
            <w:tcW w:w="1140" w:type="dxa"/>
            <w:vAlign w:val="bottom"/>
            <w:tcBorders>
              <w:top w:val="single" w:sz="8" w:color="auto"/>
            </w:tcBorders>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00" w:type="dxa"/>
            <w:vAlign w:val="bottom"/>
          </w:tcPr>
          <w:p>
            <w:pPr>
              <w:spacing w:after="0"/>
              <w:rPr>
                <w:sz w:val="17"/>
                <w:szCs w:val="17"/>
                <w:color w:val="auto"/>
              </w:rPr>
            </w:pPr>
          </w:p>
        </w:tc>
        <w:tc>
          <w:tcPr>
            <w:tcW w:w="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Domestic</w:t>
            </w:r>
          </w:p>
        </w:tc>
        <w:tc>
          <w:tcPr>
            <w:tcW w:w="100" w:type="dxa"/>
            <w:vAlign w:val="bottom"/>
          </w:tcPr>
          <w:p>
            <w:pPr>
              <w:spacing w:after="0"/>
              <w:rPr>
                <w:sz w:val="17"/>
                <w:szCs w:val="17"/>
                <w:color w:val="auto"/>
              </w:rPr>
            </w:pPr>
          </w:p>
        </w:tc>
        <w:tc>
          <w:tcPr>
            <w:tcW w:w="100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Domestic</w:t>
            </w:r>
          </w:p>
        </w:tc>
        <w:tc>
          <w:tcPr>
            <w:tcW w:w="1160" w:type="dxa"/>
            <w:vAlign w:val="bottom"/>
            <w:tcBorders>
              <w:top w:val="single" w:sz="8" w:color="auto"/>
            </w:tcBorders>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80" w:type="dxa"/>
            <w:vAlign w:val="bottom"/>
          </w:tcPr>
          <w:p>
            <w:pPr>
              <w:spacing w:after="0"/>
              <w:rPr>
                <w:sz w:val="17"/>
                <w:szCs w:val="17"/>
                <w:color w:val="auto"/>
              </w:rPr>
            </w:pPr>
          </w:p>
        </w:tc>
        <w:tc>
          <w:tcPr>
            <w:tcW w:w="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Domestic</w:t>
            </w:r>
          </w:p>
        </w:tc>
        <w:tc>
          <w:tcPr>
            <w:tcW w:w="100" w:type="dxa"/>
            <w:vAlign w:val="bottom"/>
          </w:tcPr>
          <w:p>
            <w:pPr>
              <w:spacing w:after="0"/>
              <w:rPr>
                <w:sz w:val="17"/>
                <w:szCs w:val="17"/>
                <w:color w:val="auto"/>
              </w:rPr>
            </w:pPr>
          </w:p>
        </w:tc>
        <w:tc>
          <w:tcPr>
            <w:tcW w:w="1020" w:type="dxa"/>
            <w:vAlign w:val="bottom"/>
            <w:tcBorders>
              <w:top w:val="single" w:sz="8" w:color="auto"/>
            </w:tcBorders>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Domestic</w:t>
            </w:r>
          </w:p>
        </w:tc>
        <w:tc>
          <w:tcPr>
            <w:tcW w:w="1140" w:type="dxa"/>
            <w:vAlign w:val="bottom"/>
            <w:tcBorders>
              <w:top w:val="single" w:sz="8" w:color="auto"/>
            </w:tcBorders>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80" w:type="dxa"/>
            <w:vAlign w:val="bottom"/>
          </w:tcPr>
          <w:p>
            <w:pPr>
              <w:spacing w:after="0"/>
              <w:rPr>
                <w:sz w:val="17"/>
                <w:szCs w:val="17"/>
                <w:color w:val="auto"/>
              </w:rPr>
            </w:pPr>
          </w:p>
        </w:tc>
        <w:tc>
          <w:tcPr>
            <w:tcW w:w="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Domestic</w:t>
            </w:r>
          </w:p>
        </w:tc>
        <w:tc>
          <w:tcPr>
            <w:tcW w:w="0" w:type="dxa"/>
            <w:vAlign w:val="bottom"/>
          </w:tcPr>
          <w:p>
            <w:pPr>
              <w:spacing w:after="0"/>
              <w:rPr>
                <w:sz w:val="1"/>
                <w:szCs w:val="1"/>
                <w:color w:val="auto"/>
              </w:rPr>
            </w:pPr>
          </w:p>
        </w:tc>
      </w:tr>
      <w:tr>
        <w:trPr>
          <w:trHeight w:val="216"/>
        </w:trPr>
        <w:tc>
          <w:tcPr>
            <w:tcW w:w="1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Discount rate</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5.36 %</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4.06 %</w:t>
            </w: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5.11 %</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5.48 %</w:t>
            </w: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4.13 %</w:t>
            </w:r>
          </w:p>
        </w:tc>
        <w:tc>
          <w:tcPr>
            <w:tcW w:w="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5.46 %</w:t>
            </w: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rPr>
              <w:t>3.28 %</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1.67 %</w:t>
            </w:r>
          </w:p>
        </w:tc>
        <w:tc>
          <w:tcPr>
            <w:tcW w:w="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2.61 %</w:t>
            </w:r>
          </w:p>
        </w:tc>
        <w:tc>
          <w:tcPr>
            <w:tcW w:w="0" w:type="dxa"/>
            <w:vAlign w:val="bottom"/>
          </w:tcPr>
          <w:p>
            <w:pPr>
              <w:spacing w:after="0"/>
              <w:rPr>
                <w:sz w:val="1"/>
                <w:szCs w:val="1"/>
                <w:color w:val="auto"/>
              </w:rPr>
            </w:pPr>
          </w:p>
        </w:tc>
      </w:tr>
      <w:tr>
        <w:trPr>
          <w:trHeight w:val="162"/>
        </w:trPr>
        <w:tc>
          <w:tcPr>
            <w:tcW w:w="14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Expected return on</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5.22 %</w:t>
            </w:r>
          </w:p>
        </w:tc>
        <w:tc>
          <w:tcPr>
            <w:tcW w:w="10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4.06 %</w:t>
            </w:r>
          </w:p>
        </w:tc>
        <w:tc>
          <w:tcPr>
            <w:tcW w:w="100" w:type="dxa"/>
            <w:vAlign w:val="bottom"/>
          </w:tcPr>
          <w:p>
            <w:pPr>
              <w:spacing w:after="0"/>
              <w:rPr>
                <w:sz w:val="14"/>
                <w:szCs w:val="14"/>
                <w:color w:val="auto"/>
              </w:rPr>
            </w:pPr>
          </w:p>
        </w:tc>
        <w:tc>
          <w:tcPr>
            <w:tcW w:w="10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4.48 %</w:t>
            </w:r>
          </w:p>
        </w:tc>
        <w:tc>
          <w:tcPr>
            <w:tcW w:w="10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4.12 %</w:t>
            </w:r>
          </w:p>
        </w:tc>
        <w:tc>
          <w:tcPr>
            <w:tcW w:w="80" w:type="dxa"/>
            <w:vAlign w:val="bottom"/>
          </w:tcPr>
          <w:p>
            <w:pPr>
              <w:spacing w:after="0"/>
              <w:rPr>
                <w:sz w:val="14"/>
                <w:szCs w:val="14"/>
                <w:color w:val="auto"/>
              </w:rPr>
            </w:pPr>
          </w:p>
        </w:tc>
        <w:tc>
          <w:tcPr>
            <w:tcW w:w="10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c>
          <w:tcPr>
            <w:tcW w:w="1020" w:type="dxa"/>
            <w:vAlign w:val="bottom"/>
            <w:vMerge w:val="restart"/>
          </w:tcPr>
          <w:p>
            <w:pPr>
              <w:jc w:val="right"/>
              <w:ind w:right="63"/>
              <w:spacing w:after="0"/>
              <w:rPr>
                <w:sz w:val="20"/>
                <w:szCs w:val="20"/>
                <w:color w:val="auto"/>
              </w:rPr>
            </w:pPr>
            <w:r>
              <w:rPr>
                <w:rFonts w:ascii="Times New Roman" w:cs="Times New Roman" w:eastAsia="Times New Roman" w:hAnsi="Times New Roman"/>
                <w:sz w:val="16"/>
                <w:szCs w:val="16"/>
                <w:color w:val="auto"/>
              </w:rPr>
              <w:t>2.80 %</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1.90 %</w:t>
            </w:r>
          </w:p>
        </w:tc>
        <w:tc>
          <w:tcPr>
            <w:tcW w:w="8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13"/>
        </w:trPr>
        <w:tc>
          <w:tcPr>
            <w:tcW w:w="1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plan assets</w:t>
            </w: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4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Rate of</w:t>
            </w: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2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compensation</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2.90 %</w:t>
            </w:r>
          </w:p>
        </w:tc>
        <w:tc>
          <w:tcPr>
            <w:tcW w:w="10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3.50 %</w:t>
            </w:r>
          </w:p>
        </w:tc>
        <w:tc>
          <w:tcPr>
            <w:tcW w:w="10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2.99 %</w:t>
            </w:r>
          </w:p>
        </w:tc>
        <w:tc>
          <w:tcPr>
            <w:tcW w:w="10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N/A</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3.50 %</w:t>
            </w:r>
          </w:p>
        </w:tc>
        <w:tc>
          <w:tcPr>
            <w:tcW w:w="1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rPr>
              <w:t>2.95 %</w:t>
            </w:r>
          </w:p>
        </w:tc>
        <w:tc>
          <w:tcPr>
            <w:tcW w:w="12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N/A</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3.50 %</w:t>
            </w: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increase</w:t>
            </w: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4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Cash balance</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2.39 %</w:t>
            </w:r>
          </w:p>
        </w:tc>
        <w:tc>
          <w:tcPr>
            <w:tcW w:w="100" w:type="dxa"/>
            <w:vAlign w:val="bottom"/>
          </w:tcPr>
          <w:p>
            <w:pPr>
              <w:spacing w:after="0"/>
              <w:rPr>
                <w:sz w:val="14"/>
                <w:szCs w:val="14"/>
                <w:color w:val="auto"/>
              </w:rPr>
            </w:pPr>
          </w:p>
        </w:tc>
        <w:tc>
          <w:tcPr>
            <w:tcW w:w="12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c>
          <w:tcPr>
            <w:tcW w:w="10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2.39 %</w:t>
            </w:r>
          </w:p>
        </w:tc>
        <w:tc>
          <w:tcPr>
            <w:tcW w:w="100" w:type="dxa"/>
            <w:vAlign w:val="bottom"/>
          </w:tcPr>
          <w:p>
            <w:pPr>
              <w:spacing w:after="0"/>
              <w:rPr>
                <w:sz w:val="14"/>
                <w:szCs w:val="14"/>
                <w:color w:val="auto"/>
              </w:rPr>
            </w:pPr>
          </w:p>
        </w:tc>
        <w:tc>
          <w:tcPr>
            <w:tcW w:w="12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N/A</w:t>
            </w:r>
          </w:p>
        </w:tc>
        <w:tc>
          <w:tcPr>
            <w:tcW w:w="10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c>
          <w:tcPr>
            <w:tcW w:w="1020" w:type="dxa"/>
            <w:vAlign w:val="bottom"/>
            <w:vMerge w:val="restart"/>
          </w:tcPr>
          <w:p>
            <w:pPr>
              <w:jc w:val="right"/>
              <w:ind w:right="63"/>
              <w:spacing w:after="0"/>
              <w:rPr>
                <w:sz w:val="20"/>
                <w:szCs w:val="20"/>
                <w:color w:val="auto"/>
              </w:rPr>
            </w:pPr>
            <w:r>
              <w:rPr>
                <w:rFonts w:ascii="Times New Roman" w:cs="Times New Roman" w:eastAsia="Times New Roman" w:hAnsi="Times New Roman"/>
                <w:sz w:val="16"/>
                <w:szCs w:val="16"/>
                <w:color w:val="auto"/>
              </w:rPr>
              <w:t>3.65 %</w:t>
            </w:r>
          </w:p>
        </w:tc>
        <w:tc>
          <w:tcPr>
            <w:tcW w:w="12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N/A</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10"/>
        </w:trPr>
        <w:tc>
          <w:tcPr>
            <w:tcW w:w="1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credit rate</w:t>
            </w: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assumed healthcare trend rates used to measure the expected cost of benefits for the post-retirement plan were as follows:</w:t>
      </w:r>
    </w:p>
    <w:p>
      <w:pPr>
        <w:spacing w:after="0" w:line="286" w:lineRule="exact"/>
        <w:rPr>
          <w:sz w:val="20"/>
          <w:szCs w:val="20"/>
          <w:color w:val="auto"/>
        </w:rPr>
      </w:pPr>
    </w:p>
    <w:p>
      <w:pPr>
        <w:ind w:left="85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6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520" w:type="dxa"/>
            <w:vAlign w:val="bottom"/>
            <w:tcBorders>
              <w:top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43"/>
        </w:trPr>
        <w:tc>
          <w:tcPr>
            <w:tcW w:w="6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Initial level</w:t>
            </w:r>
          </w:p>
        </w:tc>
        <w:tc>
          <w:tcPr>
            <w:tcW w:w="880" w:type="dxa"/>
            <w:vAlign w:val="bottom"/>
            <w:tcBorders>
              <w:top w:val="single" w:sz="8" w:color="auto"/>
            </w:tcBorders>
            <w:shd w:val="clear" w:color="auto" w:fill="CCEEFF"/>
          </w:tcPr>
          <w:p>
            <w:pPr>
              <w:spacing w:after="0"/>
              <w:rPr>
                <w:sz w:val="21"/>
                <w:szCs w:val="21"/>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6.50 %</w:t>
            </w:r>
          </w:p>
        </w:tc>
        <w:tc>
          <w:tcPr>
            <w:tcW w:w="100" w:type="dxa"/>
            <w:vAlign w:val="bottom"/>
            <w:tcBorders>
              <w:top w:val="single" w:sz="8" w:color="CCEEFF"/>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spacing w:after="0"/>
              <w:rPr>
                <w:sz w:val="21"/>
                <w:szCs w:val="21"/>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80" w:type="dxa"/>
            <w:vAlign w:val="bottom"/>
            <w:tcBorders>
              <w:top w:val="single" w:sz="8" w:color="CCEEFF"/>
            </w:tcBorders>
            <w:shd w:val="clear" w:color="auto" w:fill="CCEEFF"/>
          </w:tcPr>
          <w:p>
            <w:pPr>
              <w:spacing w:after="0"/>
              <w:rPr>
                <w:sz w:val="21"/>
                <w:szCs w:val="21"/>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6.25 %</w:t>
            </w:r>
          </w:p>
        </w:tc>
      </w:tr>
      <w:tr>
        <w:trPr>
          <w:trHeight w:val="229"/>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Ultimate level</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5.00 %</w:t>
            </w:r>
          </w:p>
        </w:tc>
      </w:tr>
      <w:tr>
        <w:trPr>
          <w:trHeight w:val="230"/>
        </w:trPr>
        <w:tc>
          <w:tcPr>
            <w:tcW w:w="7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Years to ultimate level</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bl>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Since Dotdash Meredith utilizes the mark-to-market approach to account for pension and post-retirement benefits, the expected long-term rate of</w:t>
      </w:r>
    </w:p>
    <w:p>
      <w:pPr>
        <w:spacing w:after="0" w:line="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return on assets has no effect on the overall amount of net periodic benefit (credit) cost recorded for the year. The expectation for the U.K. annuity contracts represents the implied yields for those contracts.</w:t>
      </w:r>
    </w:p>
    <w:p>
      <w:pPr>
        <w:spacing w:after="0" w:line="169" w:lineRule="exact"/>
        <w:rPr>
          <w:sz w:val="20"/>
          <w:szCs w:val="20"/>
          <w:color w:val="auto"/>
        </w:rPr>
      </w:pPr>
    </w:p>
    <w:p>
      <w:pPr>
        <w:ind w:right="80" w:firstLine="405"/>
        <w:spacing w:after="0" w:line="282" w:lineRule="auto"/>
        <w:rPr>
          <w:sz w:val="20"/>
          <w:szCs w:val="20"/>
          <w:color w:val="auto"/>
        </w:rPr>
      </w:pPr>
      <w:r>
        <w:rPr>
          <w:rFonts w:ascii="Times New Roman" w:cs="Times New Roman" w:eastAsia="Times New Roman" w:hAnsi="Times New Roman"/>
          <w:sz w:val="18"/>
          <w:szCs w:val="18"/>
          <w:color w:val="auto"/>
        </w:rPr>
        <w:t>The market-related value of plan assets is multiplied by the expected long-term rate of return on assets to compute the expected return on plan assets, a component of net periodic benefit (credit) cost. The market-related value of plan assets is fair value.</w:t>
      </w:r>
    </w:p>
    <w:p>
      <w:pPr>
        <w:spacing w:after="0" w:line="1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Plan Assets</w:t>
      </w:r>
    </w:p>
    <w:p>
      <w:pPr>
        <w:spacing w:after="0" w:line="229" w:lineRule="exact"/>
        <w:rPr>
          <w:sz w:val="20"/>
          <w:szCs w:val="20"/>
          <w:color w:val="auto"/>
        </w:rPr>
      </w:pPr>
    </w:p>
    <w:p>
      <w:pPr>
        <w:ind w:right="40" w:firstLine="405"/>
        <w:spacing w:after="0" w:line="273" w:lineRule="auto"/>
        <w:rPr>
          <w:sz w:val="20"/>
          <w:szCs w:val="20"/>
          <w:color w:val="auto"/>
        </w:rPr>
      </w:pPr>
      <w:r>
        <w:rPr>
          <w:rFonts w:ascii="Times New Roman" w:cs="Times New Roman" w:eastAsia="Times New Roman" w:hAnsi="Times New Roman"/>
          <w:sz w:val="17"/>
          <w:szCs w:val="17"/>
          <w:color w:val="auto"/>
        </w:rPr>
        <w:t>Due to the decision to freeze and terminate the domestic funded pension plan in 2022, the plan fiduciaries shifted the investment strategy to seek to preserve capital to protect the strong funded status, manage liquidity to align with potential benefit commencements and optimize yield to take advantage of the rising interest rate environment. The plan initially adopted a fixed income ladder investment strategy through which most of the plan assets were invested in U.S. Treasury securities of various maturities and a money market fund that invests mostly in U.S. Treasury securities. During 2023, principally all of the plan assets were reinvested in the money market fund as the U.S. Treasury securities matured in an effort to increase liquidity. These cash and cash equivalents that represent the investment balance in the U.S. represented Level 1 fair value measurements during 2023 and up until they were fully paid out during 2024. Refer to “</w:t>
      </w:r>
      <w:r>
        <w:rPr>
          <w:rFonts w:ascii="Times New Roman" w:cs="Times New Roman" w:eastAsia="Times New Roman" w:hAnsi="Times New Roman"/>
          <w:sz w:val="17"/>
          <w:szCs w:val="17"/>
          <w:u w:val="single" w:color="auto"/>
          <w:color w:val="0000FF"/>
        </w:rPr>
        <w:t>Note 2—Summary of Significant Accounting Policies</w:t>
      </w:r>
      <w:r>
        <w:rPr>
          <w:rFonts w:ascii="Times New Roman" w:cs="Times New Roman" w:eastAsia="Times New Roman" w:hAnsi="Times New Roman"/>
          <w:sz w:val="17"/>
          <w:szCs w:val="17"/>
          <w:color w:val="auto"/>
        </w:rPr>
        <w:t>” for a discussion of the three levels in the hierarchy of fair values.</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investments of the IPC Plan as of December 31, 2024 and 2023 primarily include insurance annuity contracts and cash and cash equivalents.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further discussion of the insurance annuity contracts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IAC INC. AND SUBSIDIARIES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Fair value measurements for the international pension plan assets were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6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jc w:val="center"/>
              <w:ind w:right="118"/>
              <w:spacing w:after="0" w:line="12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37"/>
        </w:trPr>
        <w:tc>
          <w:tcPr>
            <w:tcW w:w="520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00" w:type="dxa"/>
            <w:vAlign w:val="bottom"/>
          </w:tcPr>
          <w:p>
            <w:pPr>
              <w:spacing w:after="0"/>
              <w:rPr>
                <w:sz w:val="11"/>
                <w:szCs w:val="11"/>
                <w:color w:val="auto"/>
              </w:rPr>
            </w:pPr>
          </w:p>
        </w:tc>
        <w:tc>
          <w:tcPr>
            <w:tcW w:w="1240" w:type="dxa"/>
            <w:vAlign w:val="bottom"/>
          </w:tcPr>
          <w:p>
            <w:pPr>
              <w:jc w:val="center"/>
              <w:ind w:right="118"/>
              <w:spacing w:after="0" w:line="137"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90"/>
        </w:trPr>
        <w:tc>
          <w:tcPr>
            <w:tcW w:w="52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Measurements</w:t>
            </w: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60" w:type="dxa"/>
            <w:vAlign w:val="bottom"/>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6,384</w:t>
            </w: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6,384</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income</w:t>
            </w:r>
          </w:p>
        </w:tc>
        <w:tc>
          <w:tcPr>
            <w:tcW w:w="96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9"/>
                <w:szCs w:val="19"/>
                <w:color w:val="auto"/>
              </w:rPr>
            </w:pPr>
          </w:p>
        </w:tc>
        <w:tc>
          <w:tcPr>
            <w:tcW w:w="5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 annuity contracts</w:t>
            </w:r>
          </w:p>
        </w:tc>
        <w:tc>
          <w:tcPr>
            <w:tcW w:w="9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413,247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413,247</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960" w:type="dxa"/>
            <w:vAlign w:val="bottom"/>
            <w:tcBorders>
              <w:top w:val="single" w:sz="8" w:color="auto"/>
              <w:bottom w:val="single" w:sz="8" w:color="auto"/>
            </w:tcBorders>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6,384</w:t>
            </w:r>
          </w:p>
        </w:tc>
        <w:tc>
          <w:tcPr>
            <w:tcW w:w="10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413,579</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419,963</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4"/>
        </w:trPr>
        <w:tc>
          <w:tcPr>
            <w:tcW w:w="5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6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jc w:val="center"/>
              <w:ind w:right="118"/>
              <w:spacing w:after="0" w:line="131"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00" w:type="dxa"/>
            <w:vAlign w:val="bottom"/>
          </w:tcPr>
          <w:p>
            <w:pPr>
              <w:spacing w:after="0"/>
              <w:rPr>
                <w:sz w:val="12"/>
                <w:szCs w:val="12"/>
                <w:color w:val="auto"/>
              </w:rPr>
            </w:pPr>
          </w:p>
        </w:tc>
        <w:tc>
          <w:tcPr>
            <w:tcW w:w="1240" w:type="dxa"/>
            <w:vAlign w:val="bottom"/>
          </w:tcPr>
          <w:p>
            <w:pPr>
              <w:jc w:val="center"/>
              <w:ind w:right="118"/>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95"/>
        </w:trPr>
        <w:tc>
          <w:tcPr>
            <w:tcW w:w="5200" w:type="dxa"/>
            <w:vAlign w:val="bottom"/>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Measurements</w:t>
            </w:r>
          </w:p>
        </w:tc>
        <w:tc>
          <w:tcPr>
            <w:tcW w:w="0" w:type="dxa"/>
            <w:vAlign w:val="bottom"/>
          </w:tcPr>
          <w:p>
            <w:pPr>
              <w:spacing w:after="0"/>
              <w:rPr>
                <w:sz w:val="1"/>
                <w:szCs w:val="1"/>
                <w:color w:val="auto"/>
              </w:rPr>
            </w:pPr>
          </w:p>
        </w:tc>
      </w:tr>
      <w:tr>
        <w:trPr>
          <w:trHeight w:val="191"/>
        </w:trPr>
        <w:tc>
          <w:tcPr>
            <w:tcW w:w="5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60" w:type="dxa"/>
            <w:vAlign w:val="bottom"/>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8,199</w:t>
            </w: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8,199</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income</w:t>
            </w:r>
          </w:p>
        </w:tc>
        <w:tc>
          <w:tcPr>
            <w:tcW w:w="96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9"/>
                <w:szCs w:val="19"/>
                <w:color w:val="auto"/>
              </w:rPr>
            </w:pPr>
          </w:p>
        </w:tc>
        <w:tc>
          <w:tcPr>
            <w:tcW w:w="5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 annuity contracts</w:t>
            </w:r>
          </w:p>
        </w:tc>
        <w:tc>
          <w:tcPr>
            <w:tcW w:w="9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480,103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480,103</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960" w:type="dxa"/>
            <w:vAlign w:val="bottom"/>
            <w:tcBorders>
              <w:top w:val="single" w:sz="8" w:color="auto"/>
              <w:bottom w:val="single" w:sz="8" w:color="auto"/>
            </w:tcBorders>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8,199</w:t>
            </w:r>
          </w:p>
        </w:tc>
        <w:tc>
          <w:tcPr>
            <w:tcW w:w="10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480,502</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488,701</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annuity contracts held by the IPC Plan are valued using significant unobservable inputs.</w:t>
      </w:r>
    </w:p>
    <w:p>
      <w:pPr>
        <w:spacing w:after="0" w:line="225" w:lineRule="exact"/>
        <w:rPr>
          <w:sz w:val="20"/>
          <w:szCs w:val="20"/>
          <w:color w:val="auto"/>
        </w:rPr>
      </w:pPr>
    </w:p>
    <w:p>
      <w:pPr>
        <w:ind w:right="66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the beginning and ending balances of assets measured at fair value on a recurring basis using significant unobservable inputs (Level 3):</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20" w:type="dxa"/>
            <w:vAlign w:val="bottom"/>
            <w:gridSpan w:val="4"/>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82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0"/>
        </w:trPr>
        <w:tc>
          <w:tcPr>
            <w:tcW w:w="82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2"/>
        </w:trPr>
        <w:tc>
          <w:tcPr>
            <w:tcW w:w="8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6"/>
                <w:szCs w:val="16"/>
                <w:color w:val="auto"/>
              </w:rPr>
            </w:pPr>
          </w:p>
        </w:tc>
      </w:tr>
      <w:tr>
        <w:trPr>
          <w:trHeight w:val="23"/>
        </w:trPr>
        <w:tc>
          <w:tcPr>
            <w:tcW w:w="8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7"/>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480,502</w:t>
            </w: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460,278</w:t>
            </w:r>
          </w:p>
        </w:tc>
      </w:tr>
      <w:tr>
        <w:trPr>
          <w:trHeight w:val="257"/>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(18,899)</w:t>
            </w: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(17,378)</w:t>
            </w:r>
          </w:p>
        </w:tc>
      </w:tr>
      <w:tr>
        <w:trPr>
          <w:trHeight w:val="25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w:t>
            </w: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(44,238)</w:t>
            </w: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12,915</w:t>
            </w:r>
          </w:p>
        </w:tc>
      </w:tr>
      <w:tr>
        <w:trPr>
          <w:trHeight w:val="257"/>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(3,786)</w:t>
            </w: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24,253</w:t>
            </w:r>
          </w:p>
        </w:tc>
      </w:tr>
      <w:tr>
        <w:trPr>
          <w:trHeight w:val="25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413,579</w:t>
            </w:r>
          </w:p>
        </w:tc>
        <w:tc>
          <w:tcPr>
            <w:tcW w:w="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480,502</w:t>
            </w:r>
          </w:p>
        </w:tc>
      </w:tr>
      <w:tr>
        <w:trPr>
          <w:trHeight w:val="21"/>
        </w:trPr>
        <w:tc>
          <w:tcPr>
            <w:tcW w:w="8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There were no transfers in or out of Level 3 investments for the years ended December 31, 2024 and 2023.</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02" w:lineRule="exact"/>
        <w:rPr>
          <w:sz w:val="20"/>
          <w:szCs w:val="20"/>
          <w:color w:val="auto"/>
        </w:rPr>
      </w:pPr>
    </w:p>
    <w:p>
      <w:pPr>
        <w:ind w:right="640" w:firstLine="405"/>
        <w:spacing w:after="0" w:line="282" w:lineRule="auto"/>
        <w:rPr>
          <w:sz w:val="20"/>
          <w:szCs w:val="20"/>
          <w:color w:val="auto"/>
        </w:rPr>
      </w:pPr>
      <w:r>
        <w:rPr>
          <w:rFonts w:ascii="Times New Roman" w:cs="Times New Roman" w:eastAsia="Times New Roman" w:hAnsi="Times New Roman"/>
          <w:sz w:val="18"/>
          <w:szCs w:val="18"/>
          <w:color w:val="auto"/>
        </w:rPr>
        <w:t>While Dotdash Meredith currently does not expect to be required to make any additional contributions to the IPC Plan, Dotdash Meredith has deposited amounts into an escrow account for the benefit of the IPC Plan that total £5.7 million at December 31, 2024.</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IAC INC. AND SUBSIDIARIES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benefit payments, which will primarily be made from funded plans internationally, are expected to be paid: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5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0" w:type="dxa"/>
            <w:vAlign w:val="bottom"/>
            <w:gridSpan w:val="5"/>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140" w:type="dxa"/>
            <w:vAlign w:val="bottom"/>
          </w:tcPr>
          <w:p>
            <w:pPr>
              <w:spacing w:after="0"/>
              <w:rPr>
                <w:sz w:val="13"/>
                <w:szCs w:val="13"/>
                <w:color w:val="auto"/>
              </w:rPr>
            </w:pPr>
          </w:p>
        </w:tc>
        <w:tc>
          <w:tcPr>
            <w:tcW w:w="118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Post-Retirement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0" w:type="dxa"/>
            <w:vAlign w:val="bottom"/>
            <w:gridSpan w:val="5"/>
            <w:vMerge w:val="continue"/>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9"/>
              </w:rPr>
              <w:t>Benefits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Domestic</w:t>
            </w:r>
          </w:p>
        </w:tc>
        <w:tc>
          <w:tcPr>
            <w:tcW w:w="1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00" w:type="dxa"/>
            <w:vAlign w:val="bottom"/>
            <w:tcBorders>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Domestic</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60" w:type="dxa"/>
            <w:vAlign w:val="bottom"/>
            <w:tcBorders>
              <w:top w:val="single" w:sz="8" w:color="auto"/>
            </w:tcBorders>
          </w:tcPr>
          <w:p>
            <w:pPr>
              <w:spacing w:after="0"/>
              <w:rPr>
                <w:sz w:val="2"/>
                <w:szCs w:val="2"/>
                <w:color w:val="auto"/>
              </w:rPr>
            </w:pPr>
          </w:p>
        </w:tc>
        <w:tc>
          <w:tcPr>
            <w:tcW w:w="5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4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0" w:type="dxa"/>
            <w:vAlign w:val="bottom"/>
          </w:tcPr>
          <w:p>
            <w:pPr>
              <w:spacing w:after="0"/>
              <w:rPr>
                <w:sz w:val="1"/>
                <w:szCs w:val="1"/>
                <w:color w:val="auto"/>
              </w:rPr>
            </w:pPr>
          </w:p>
        </w:tc>
      </w:tr>
      <w:tr>
        <w:trPr>
          <w:trHeight w:val="230"/>
        </w:trPr>
        <w:tc>
          <w:tcPr>
            <w:tcW w:w="1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0" w:type="dxa"/>
            <w:vAlign w:val="bottom"/>
          </w:tcPr>
          <w:p>
            <w:pPr>
              <w:spacing w:after="0"/>
              <w:rPr>
                <w:sz w:val="1"/>
                <w:szCs w:val="1"/>
                <w:color w:val="auto"/>
              </w:rPr>
            </w:pPr>
          </w:p>
        </w:tc>
      </w:tr>
      <w:tr>
        <w:trPr>
          <w:trHeight w:val="229"/>
        </w:trPr>
        <w:tc>
          <w:tcPr>
            <w:tcW w:w="1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4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0" w:type="dxa"/>
            <w:vAlign w:val="bottom"/>
          </w:tcPr>
          <w:p>
            <w:pPr>
              <w:spacing w:after="0"/>
              <w:rPr>
                <w:sz w:val="1"/>
                <w:szCs w:val="1"/>
                <w:color w:val="auto"/>
              </w:rPr>
            </w:pPr>
          </w:p>
        </w:tc>
      </w:tr>
      <w:tr>
        <w:trPr>
          <w:trHeight w:val="229"/>
        </w:trPr>
        <w:tc>
          <w:tcPr>
            <w:tcW w:w="1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0" w:type="dxa"/>
            <w:vAlign w:val="bottom"/>
          </w:tcPr>
          <w:p>
            <w:pPr>
              <w:spacing w:after="0"/>
              <w:rPr>
                <w:sz w:val="1"/>
                <w:szCs w:val="1"/>
                <w:color w:val="auto"/>
              </w:rPr>
            </w:pPr>
          </w:p>
        </w:tc>
      </w:tr>
      <w:tr>
        <w:trPr>
          <w:trHeight w:val="230"/>
        </w:trPr>
        <w:tc>
          <w:tcPr>
            <w:tcW w:w="1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54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229"/>
        </w:trPr>
        <w:tc>
          <w:tcPr>
            <w:tcW w:w="1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2030-2034</w:t>
            </w:r>
          </w:p>
        </w:tc>
        <w:tc>
          <w:tcPr>
            <w:tcW w:w="54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112,082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amount recognized, end of year</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5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Defined Contribution Plans</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IAC Inc. Retirement Savings Plan</w:t>
      </w:r>
    </w:p>
    <w:p>
      <w:pPr>
        <w:spacing w:after="0" w:line="229" w:lineRule="exact"/>
        <w:rPr>
          <w:sz w:val="20"/>
          <w:szCs w:val="20"/>
          <w:color w:val="auto"/>
        </w:rPr>
      </w:pPr>
    </w:p>
    <w:p>
      <w:pPr>
        <w:ind w:right="40" w:firstLine="405"/>
        <w:spacing w:after="0" w:line="252" w:lineRule="auto"/>
        <w:rPr>
          <w:sz w:val="20"/>
          <w:szCs w:val="20"/>
          <w:color w:val="auto"/>
        </w:rPr>
      </w:pPr>
      <w:r>
        <w:rPr>
          <w:rFonts w:ascii="Times New Roman" w:cs="Times New Roman" w:eastAsia="Times New Roman" w:hAnsi="Times New Roman"/>
          <w:sz w:val="18"/>
          <w:szCs w:val="18"/>
          <w:color w:val="auto"/>
        </w:rPr>
        <w:t>IAC employees in the U.S. can elect to participate in a retirement savings program, the IAC Plan, that qualifies under Section 401(k) of the Internal Revenue Code. Under the IAC Plan, participating employees may contribute up to 50% of their eligible compensation, but not more than statutory limits. The Company matches 100% of the first 10% of an employee's pre-tax or Roth contribution, subject to IRS limits on the Company's matching contribution maximum, that a participant contributes to the IAC Plan, with certain exceptions at Dotdash Meredith and Angi. Dotdash Meredith matches 100% of the first 5% of pre-tax or Roth contributions for employees who were previously under the Meredith Savings and Investment Plan (the “Meredith Plan”), described below, and any U.S. Dotdash Meredith employees hired after January 1, 2023. Angi matches fifty cents for each dollar a participant contributes in the IAC Plan, with a maximum contribution of 3% of a participant's eligible compensation. The IAC Plan generally limits Company matching contributions to a maximum of $10,000 per participant on an annual basis. Matching contributions to the IAC Plan for the years ended December 31, 2024, 2023 and 2022 were $36.6 million, $36.1 million and $25.6 million, respectively. Matching contributions are invested in the same manner as each participant's voluntary contributions in the investment options provided under the IAC Plan. An investment option in the IAC Plan is IAC common stock, but neither participant nor matching contributions are required to be invested in IAC common stock. The increase in matching contributions in 2023 is the result of the Meredith Plan merger with additional employees covered by the IAC Plan. The IAC Plan also provides for a discretionary matching contribution and/or a discretionary profit-sharing contribution, each of which is made on an annual basis and is subject to a last day of the plan year allocation requirement (with exceptions for retirement, death, or disability). There was no such discretionary matching contribution or discretionary profit-sharing contribution for the years ended December 31, 2024, 2023 and 2022.</w:t>
      </w:r>
    </w:p>
    <w:p>
      <w:pPr>
        <w:spacing w:after="0" w:line="196" w:lineRule="exact"/>
        <w:rPr>
          <w:sz w:val="20"/>
          <w:szCs w:val="20"/>
          <w:color w:val="auto"/>
        </w:rPr>
      </w:pPr>
    </w:p>
    <w:p>
      <w:pPr>
        <w:ind w:right="340" w:firstLine="405"/>
        <w:spacing w:after="0" w:line="282" w:lineRule="auto"/>
        <w:rPr>
          <w:sz w:val="20"/>
          <w:szCs w:val="20"/>
          <w:color w:val="auto"/>
        </w:rPr>
      </w:pPr>
      <w:r>
        <w:rPr>
          <w:rFonts w:ascii="Times New Roman" w:cs="Times New Roman" w:eastAsia="Times New Roman" w:hAnsi="Times New Roman"/>
          <w:sz w:val="18"/>
          <w:szCs w:val="18"/>
          <w:color w:val="auto"/>
        </w:rPr>
        <w:t>IAC also has or participates in various benefit plans, principally defined contribution plans, for its international employees. IAC's contributions to these plans for the years ended December 31, 2024, 2023 and 2022 were $1.5 million, $1.4 million and $1.1 million, respectively.</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IAC INC. AND SUBSIDIARIES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Meredith Savings and Investment Plan</w:t>
      </w:r>
    </w:p>
    <w:p>
      <w:pPr>
        <w:spacing w:after="0" w:line="216" w:lineRule="exact"/>
        <w:rPr>
          <w:sz w:val="20"/>
          <w:szCs w:val="20"/>
          <w:color w:val="auto"/>
        </w:rPr>
      </w:pPr>
    </w:p>
    <w:p>
      <w:pPr>
        <w:ind w:right="380" w:firstLine="405"/>
        <w:spacing w:after="0" w:line="245" w:lineRule="auto"/>
        <w:rPr>
          <w:sz w:val="20"/>
          <w:szCs w:val="20"/>
          <w:color w:val="auto"/>
        </w:rPr>
      </w:pPr>
      <w:r>
        <w:rPr>
          <w:rFonts w:ascii="Times New Roman" w:cs="Times New Roman" w:eastAsia="Times New Roman" w:hAnsi="Times New Roman"/>
          <w:sz w:val="18"/>
          <w:szCs w:val="18"/>
          <w:color w:val="auto"/>
        </w:rPr>
        <w:t>In connection with the 2021 acquisition of Meredith, the Company assumed the Meredith Plan, its U.S. defined contribution savings plan, which allowed eligible employees to contribute a percentage of their salary, commissions and bonuses in accordance with plan limitations and provisions of Section 401(k) of the Internal Revenue Code. Dotdash Meredith made matching contributions to the Meredith plan subject to the plan limits. Effective January 1, 2023, Dotdash Meredith, as permitted by the relevant IAC Plan documents, merged the Meredith Plan into the IAC Plan.</w:t>
      </w:r>
    </w:p>
    <w:p>
      <w:pPr>
        <w:spacing w:after="0" w:line="2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Under the Meredith Plan, prior to the merge of plans effective January 1, 2023, Dotdash Meredith matched 100% of the first 4% and 50% of the next 1% of employee contributions for employees eligible for Dotdash Meredith’s pension benefits and 100% of the first 5% for employees ineligible for the Company’s pension benefits. Matching contributions to the Meredith Plan for the year ended December 31, 2022 was $10.4 million.</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IAC INC. AND SUBSIDIARIES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12—INCOME TAXES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U.S. and foreign (loss) earnings before income taxes and noncontrolling interests are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96"/>
        </w:trPr>
        <w:tc>
          <w:tcPr>
            <w:tcW w:w="6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(719,791)</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353,188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(1,320,332)</w:t>
            </w:r>
          </w:p>
        </w:tc>
        <w:tc>
          <w:tcPr>
            <w:tcW w:w="0" w:type="dxa"/>
            <w:vAlign w:val="bottom"/>
          </w:tcPr>
          <w:p>
            <w:pPr>
              <w:spacing w:after="0"/>
              <w:rPr>
                <w:sz w:val="1"/>
                <w:szCs w:val="1"/>
                <w:color w:val="auto"/>
              </w:rPr>
            </w:pPr>
          </w:p>
        </w:tc>
      </w:tr>
      <w:tr>
        <w:trPr>
          <w:trHeight w:val="229"/>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27,392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13,947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(205,904)</w:t>
            </w:r>
          </w:p>
        </w:tc>
        <w:tc>
          <w:tcPr>
            <w:tcW w:w="0" w:type="dxa"/>
            <w:vAlign w:val="bottom"/>
          </w:tcPr>
          <w:p>
            <w:pPr>
              <w:spacing w:after="0"/>
              <w:rPr>
                <w:sz w:val="1"/>
                <w:szCs w:val="1"/>
                <w:color w:val="auto"/>
              </w:rPr>
            </w:pPr>
          </w:p>
        </w:tc>
      </w:tr>
      <w:tr>
        <w:trPr>
          <w:trHeight w:val="248"/>
        </w:trPr>
        <w:tc>
          <w:tcPr>
            <w:tcW w:w="67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(692,399)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367,135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(1,526,236)</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ind w:left="460"/>
              <w:spacing w:after="0"/>
              <w:rPr>
                <w:sz w:val="20"/>
                <w:szCs w:val="20"/>
                <w:color w:val="auto"/>
              </w:rPr>
            </w:pPr>
            <w:r>
              <w:rPr>
                <w:rFonts w:ascii="Times New Roman" w:cs="Times New Roman" w:eastAsia="Times New Roman" w:hAnsi="Times New Roman"/>
                <w:sz w:val="18"/>
                <w:szCs w:val="18"/>
                <w:color w:val="auto"/>
              </w:rPr>
              <w:t>The components of the income tax provision (benefit) are as follows: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67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6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96"/>
        </w:trPr>
        <w:tc>
          <w:tcPr>
            <w:tcW w:w="6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income tax provision:</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4,712</w:t>
            </w:r>
          </w:p>
        </w:tc>
        <w:tc>
          <w:tcPr>
            <w:tcW w:w="0" w:type="dxa"/>
            <w:vAlign w:val="bottom"/>
          </w:tcPr>
          <w:p>
            <w:pPr>
              <w:spacing w:after="0"/>
              <w:rPr>
                <w:sz w:val="1"/>
                <w:szCs w:val="1"/>
                <w:color w:val="auto"/>
              </w:rPr>
            </w:pPr>
          </w:p>
        </w:tc>
      </w:tr>
      <w:tr>
        <w:trPr>
          <w:trHeight w:val="229"/>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12,582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Current income tax provision</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6,671</w:t>
            </w:r>
          </w:p>
        </w:tc>
        <w:tc>
          <w:tcPr>
            <w:tcW w:w="0" w:type="dxa"/>
            <w:vAlign w:val="bottom"/>
          </w:tcPr>
          <w:p>
            <w:pPr>
              <w:spacing w:after="0"/>
              <w:rPr>
                <w:sz w:val="1"/>
                <w:szCs w:val="1"/>
                <w:color w:val="auto"/>
              </w:rPr>
            </w:pPr>
          </w:p>
        </w:tc>
      </w:tr>
      <w:tr>
        <w:trPr>
          <w:trHeight w:val="250"/>
        </w:trPr>
        <w:tc>
          <w:tcPr>
            <w:tcW w:w="6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income tax (benefit) provision: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(128,443)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79,941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(252,022)</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(44,335)</w:t>
            </w:r>
          </w:p>
        </w:tc>
        <w:tc>
          <w:tcPr>
            <w:tcW w:w="0" w:type="dxa"/>
            <w:vAlign w:val="bottom"/>
          </w:tcPr>
          <w:p>
            <w:pPr>
              <w:spacing w:after="0"/>
              <w:rPr>
                <w:sz w:val="1"/>
                <w:szCs w:val="1"/>
                <w:color w:val="auto"/>
              </w:rPr>
            </w:pPr>
          </w:p>
        </w:tc>
      </w:tr>
      <w:tr>
        <w:trPr>
          <w:trHeight w:val="230"/>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(31,339)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(41,401)</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Deferred income tax (benefit) provision</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(181,037)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88,792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(337,758)</w:t>
            </w:r>
          </w:p>
        </w:tc>
        <w:tc>
          <w:tcPr>
            <w:tcW w:w="0" w:type="dxa"/>
            <w:vAlign w:val="bottom"/>
          </w:tcPr>
          <w:p>
            <w:pPr>
              <w:spacing w:after="0"/>
              <w:rPr>
                <w:sz w:val="1"/>
                <w:szCs w:val="1"/>
                <w:color w:val="auto"/>
              </w:rPr>
            </w:pPr>
          </w:p>
        </w:tc>
      </w:tr>
      <w:tr>
        <w:trPr>
          <w:trHeight w:val="223"/>
        </w:trPr>
        <w:tc>
          <w:tcPr>
            <w:tcW w:w="6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(159,069)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108,818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(331,087)</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220" w:firstLine="405"/>
        <w:spacing w:after="0" w:line="282" w:lineRule="auto"/>
        <w:rPr>
          <w:sz w:val="20"/>
          <w:szCs w:val="20"/>
          <w:color w:val="auto"/>
        </w:rPr>
      </w:pPr>
      <w:r>
        <w:rPr>
          <w:rFonts w:ascii="Times New Roman" w:cs="Times New Roman" w:eastAsia="Times New Roman" w:hAnsi="Times New Roman"/>
          <w:sz w:val="18"/>
          <w:szCs w:val="18"/>
          <w:color w:val="auto"/>
        </w:rPr>
        <w:t>A reconciliation of the income tax provision (benefit) to the amounts computed by applying the statutory federal income tax rate to earnings before income taxes is shown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40" w:type="dxa"/>
            <w:vAlign w:val="bottom"/>
            <w:gridSpan w:val="6"/>
          </w:tcPr>
          <w:p>
            <w:pPr>
              <w:jc w:val="center"/>
              <w:ind w:left="59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20" w:type="dxa"/>
            <w:vAlign w:val="bottom"/>
          </w:tcPr>
          <w:p>
            <w:pPr>
              <w:spacing w:after="0"/>
              <w:rPr>
                <w:sz w:val="16"/>
                <w:szCs w:val="16"/>
                <w:color w:val="auto"/>
              </w:rPr>
            </w:pPr>
          </w:p>
        </w:tc>
      </w:tr>
      <w:tr>
        <w:trPr>
          <w:trHeight w:val="23"/>
        </w:trPr>
        <w:tc>
          <w:tcPr>
            <w:tcW w:w="70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70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7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63"/>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provision at the federal statutory rate of 21%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(145,404)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77,098</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(320,510)</w:t>
            </w:r>
          </w:p>
        </w:tc>
      </w:tr>
      <w:tr>
        <w:trPr>
          <w:trHeight w:val="229"/>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income taxes, net of effect of federal tax benefit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(26,708)</w:t>
            </w: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judgement on beginning of the year valuation allowance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3,523</w:t>
            </w:r>
          </w:p>
        </w:tc>
      </w:tr>
      <w:tr>
        <w:trPr>
          <w:trHeight w:val="230"/>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Non-deductible portion of goodwill in the sale of Mosaic</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23,839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Non-deductible executive compensation</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12,359</w:t>
            </w:r>
          </w:p>
        </w:tc>
      </w:tr>
      <w:tr>
        <w:trPr>
          <w:trHeight w:val="229"/>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credit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(19,041)</w:t>
            </w: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 on capital losses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10,010</w:t>
            </w:r>
          </w:p>
        </w:tc>
      </w:tr>
      <w:tr>
        <w:trPr>
          <w:trHeight w:val="230"/>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Non-deductible goodwill impairment</w:t>
            </w: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15,764</w:t>
            </w:r>
          </w:p>
        </w:tc>
      </w:tr>
      <w:tr>
        <w:trPr>
          <w:trHeight w:val="22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adjustment for enacted changes in tax laws and rates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(7,152)</w:t>
            </w:r>
          </w:p>
        </w:tc>
      </w:tr>
      <w:tr>
        <w:trPr>
          <w:trHeight w:val="230"/>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19,893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18,168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w:t>
            </w:r>
          </w:p>
        </w:tc>
      </w:tr>
      <w:tr>
        <w:trPr>
          <w:trHeight w:val="248"/>
        </w:trPr>
        <w:tc>
          <w:tcPr>
            <w:tcW w:w="70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(159,069)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108,818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(331,087)</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148" w:name="page149"/>
    <w:bookmarkEnd w:id="14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IAC INC. AND SUBSIDIARIES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tax effects of cumulative temporary differences that give rise to significant deferred tax assets and deferred tax liabilities are presented below.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valuation allowance relates to deferred tax assets for which it is more likely than not that the tax benefit will not be realized.</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0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tcPr>
          <w:p>
            <w:pPr>
              <w:spacing w:after="0"/>
              <w:rPr>
                <w:sz w:val="16"/>
                <w:szCs w:val="16"/>
                <w:color w:val="auto"/>
              </w:rPr>
            </w:pPr>
          </w:p>
        </w:tc>
      </w:tr>
      <w:tr>
        <w:trPr>
          <w:trHeight w:val="23"/>
        </w:trPr>
        <w:tc>
          <w:tcPr>
            <w:tcW w:w="8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6"/>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6"/>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0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6"/>
                <w:szCs w:val="16"/>
                <w:color w:val="auto"/>
              </w:rPr>
            </w:pPr>
          </w:p>
        </w:tc>
      </w:tr>
      <w:tr>
        <w:trPr>
          <w:trHeight w:val="23"/>
        </w:trPr>
        <w:tc>
          <w:tcPr>
            <w:tcW w:w="8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375,385</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435,318</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research &amp; development expenditures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120,456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91,550</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97,932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112,178</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credit carryforwards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74,512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72,369</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56,800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53,551</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85,761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101,356</w:t>
            </w:r>
          </w:p>
        </w:tc>
      </w:tr>
      <w:tr>
        <w:trPr>
          <w:trHeight w:val="223"/>
        </w:trPr>
        <w:tc>
          <w:tcPr>
            <w:tcW w:w="8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810,846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866,322</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(94,429)</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(132,058)</w:t>
            </w:r>
          </w:p>
        </w:tc>
      </w:tr>
      <w:tr>
        <w:trPr>
          <w:trHeight w:val="223"/>
        </w:trPr>
        <w:tc>
          <w:tcPr>
            <w:tcW w:w="82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deferred tax assets, net of valuation allowance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716,417</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734,264</w:t>
            </w:r>
          </w:p>
        </w:tc>
      </w:tr>
      <w:tr>
        <w:trPr>
          <w:trHeight w:val="250"/>
        </w:trPr>
        <w:tc>
          <w:tcPr>
            <w:tcW w:w="82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 MGM Resorts International</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(230,499)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(383,170)</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 subsidiaries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(223,780)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(226,898)</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 of accumulated amortization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(157,666)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(174,933)</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(61,673)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(71,531)</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(26,736)</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(40,668)</w:t>
            </w:r>
          </w:p>
        </w:tc>
      </w:tr>
      <w:tr>
        <w:trPr>
          <w:trHeight w:val="223"/>
        </w:trPr>
        <w:tc>
          <w:tcPr>
            <w:tcW w:w="82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(700,354)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(897,200)</w:t>
            </w:r>
          </w:p>
        </w:tc>
      </w:tr>
      <w:tr>
        <w:trPr>
          <w:trHeight w:val="248"/>
        </w:trPr>
        <w:tc>
          <w:tcPr>
            <w:tcW w:w="82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deferred tax assets (liabilities)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(162,936)</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At December 31, 2024, the Company had both U.S. federal and state net operating losses (“NOLs”) of $1.1 billion, available to offset future income. Federal NOLs of $1.1 billion can be carried forward indefinitely. State NOLs of $0.1 billion can be carried forward indefinitely and $1.0 billion, if not utilized, will expire at various times between 2025 and 2044. Federal and state NOLs of $1.0 billion and $0.8 billion, respectively, can be used against future taxable income without restriction and the remaining NOLs are subject to limitations under Section 382 of the Internal Revenue Code, separate return limitations, and applicable law. At December 31, 2024, the Company had foreign NOLs of $397.1 million available to offset future income. Of these foreign NOLs, $386.0 million can be carried forward indefinitely and $11.1 million, if not utilized, will expire at various times between 2025 and 2044. During 2024, the Company recognized tax benefits related to NOLs of $36.4 million.</w:t>
      </w:r>
    </w:p>
    <w:p>
      <w:pPr>
        <w:spacing w:after="0" w:line="189"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At December 31, 2024, the Company had tax credit carryforwards of $97.9 million. Of this amount, $90.1 million relates to credits for research activities, $5.9 million relates to credits for foreign taxes, and $1.9 million relates to various other credits. Of these credit carryforwards, $14.4 million can be carried forward indefinitely and $83.5 million, if not utilized, will expire between 2025 and 2044.</w:t>
      </w:r>
    </w:p>
    <w:p>
      <w:pPr>
        <w:spacing w:after="0" w:line="176" w:lineRule="exact"/>
        <w:rPr>
          <w:sz w:val="20"/>
          <w:szCs w:val="20"/>
          <w:color w:val="auto"/>
        </w:rPr>
      </w:pPr>
    </w:p>
    <w:p>
      <w:pPr>
        <w:ind w:right="240" w:firstLine="405"/>
        <w:spacing w:after="0" w:line="261" w:lineRule="auto"/>
        <w:rPr>
          <w:sz w:val="20"/>
          <w:szCs w:val="20"/>
          <w:color w:val="auto"/>
        </w:rPr>
      </w:pPr>
      <w:r>
        <w:rPr>
          <w:rFonts w:ascii="Times New Roman" w:cs="Times New Roman" w:eastAsia="Times New Roman" w:hAnsi="Times New Roman"/>
          <w:sz w:val="18"/>
          <w:szCs w:val="18"/>
          <w:color w:val="auto"/>
        </w:rPr>
        <w:t>During 2024, the Company's valuation allowance decreased by $37.6 million primarily due to the valuation allowance release for foreign net operating losses (as discussed below), and the realization of previously unbenefited capital losses, partially offset by state NOLs. At December 31, 2024, the Company had a valuation allowance of $94.4 million related to the portion of tax loss carryforwards, tax credits and other items for which it is more likely than not that the tax benefit will not be realized.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IAC INC. AND SUBSIDIARIES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Following the purchase of the remaining noncontrolling interests of a foreign subsidiary, we reorganized the related business operations, which resulted in the release of a valuation allowance for foreign net operating losses in the amount of $31.1 million as a discrete item in the third quarter, because we are now forecasting the utilization of these net operating losses within the foreseeable future.</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including penalties but excluding interest, is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67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70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67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86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19,002</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16,013</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17,449</w:t>
            </w: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for tax positions related to the current year</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5,557</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(7,100)</w:t>
            </w: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for tax positions of prior years</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Reductions for tax positions of prior years</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w:t>
            </w: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Expiration of statutes</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w:t>
            </w:r>
          </w:p>
        </w:tc>
        <w:tc>
          <w:tcPr>
            <w:tcW w:w="860" w:type="dxa"/>
            <w:vAlign w:val="bottom"/>
            <w:tcBorders>
              <w:top w:val="single" w:sz="8" w:color="auto"/>
              <w:bottom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23,029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16,013</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80" w:firstLine="405"/>
        <w:spacing w:after="0" w:line="254" w:lineRule="auto"/>
        <w:rPr>
          <w:sz w:val="20"/>
          <w:szCs w:val="20"/>
          <w:color w:val="auto"/>
        </w:rPr>
      </w:pPr>
      <w:r>
        <w:rPr>
          <w:rFonts w:ascii="Times New Roman" w:cs="Times New Roman" w:eastAsia="Times New Roman" w:hAnsi="Times New Roman"/>
          <w:sz w:val="18"/>
          <w:szCs w:val="18"/>
          <w:color w:val="auto"/>
        </w:rPr>
        <w:t>The Company is routinely under audit by federal, state, local and foreign authorities in the area of income tax. These audits include questioning the timing and the amount of income and deductions and the allocation of income and deductions among various tax jurisdictions. The Company is not currently under audit by the Internal Revenue Services (“IRS”). Returns filed in various other jurisdictions are open to examination for tax years beginning with 2015. Income taxes payable include unrecognized tax benefits considered sufficient to pay assessments that may result from the examination of prior year tax returns. The Company considers many factors when evaluating and estimating its tax positions and tax benefits, which may not accurately anticipate actual outcomes and, therefore, may require periodic adjustment. Although management currently believes changes in unrecognized tax benefits from period to period and differences between amounts paid, if any, upon resolution of issues raised in audits and amounts previously provided will not have a material impact on the liquidity, results of operations, or financial condition of the Company, these matters are subject to inherent uncertainties and management’s view of these matters may change in the future.</w:t>
      </w:r>
    </w:p>
    <w:p>
      <w:pPr>
        <w:spacing w:after="0" w:line="188" w:lineRule="exact"/>
        <w:rPr>
          <w:sz w:val="20"/>
          <w:szCs w:val="20"/>
          <w:color w:val="auto"/>
        </w:rPr>
      </w:pPr>
    </w:p>
    <w:p>
      <w:pPr>
        <w:ind w:right="40" w:firstLine="405"/>
        <w:spacing w:after="0" w:line="282" w:lineRule="auto"/>
        <w:rPr>
          <w:sz w:val="20"/>
          <w:szCs w:val="20"/>
          <w:color w:val="auto"/>
        </w:rPr>
      </w:pPr>
      <w:r>
        <w:rPr>
          <w:rFonts w:ascii="Times New Roman" w:cs="Times New Roman" w:eastAsia="Times New Roman" w:hAnsi="Times New Roman"/>
          <w:sz w:val="18"/>
          <w:szCs w:val="18"/>
          <w:color w:val="auto"/>
        </w:rPr>
        <w:t>The Company recognizes interest and, if applicable, penalties related to unrecognized tax benefits in the income tax provision. At December 31, 2024 and 2023, accruals for interest and penalties are not material.</w:t>
      </w:r>
    </w:p>
    <w:p>
      <w:pPr>
        <w:spacing w:after="0" w:line="162" w:lineRule="exact"/>
        <w:rPr>
          <w:sz w:val="20"/>
          <w:szCs w:val="20"/>
          <w:color w:val="auto"/>
        </w:rPr>
      </w:pPr>
    </w:p>
    <w:p>
      <w:pPr>
        <w:ind w:right="260" w:firstLine="405"/>
        <w:spacing w:after="0" w:line="256" w:lineRule="auto"/>
        <w:rPr>
          <w:sz w:val="20"/>
          <w:szCs w:val="20"/>
          <w:color w:val="auto"/>
        </w:rPr>
      </w:pPr>
      <w:r>
        <w:rPr>
          <w:rFonts w:ascii="Times New Roman" w:cs="Times New Roman" w:eastAsia="Times New Roman" w:hAnsi="Times New Roman"/>
          <w:sz w:val="18"/>
          <w:szCs w:val="18"/>
          <w:color w:val="auto"/>
        </w:rPr>
        <w:t>At December 31, 2024 and 2023, unrecognized tax benefits, including interest and penalties, were $23.8 million and $19.6 million, respectively. Unrecognized tax benefits, including interest and penalties, at December 31, 2024 increased by $4.2 million due primarily to research credits. If unrecognized tax benefits at December 31, 2024 are subsequently recognized, $22.6 million, net of related deferred tax assets and interest, would reduce income tax expense. The comparable amount at December 31, 2023 was $18.6 million. The Company believes that it is reasonably possible that its unrecognized tax benefits could decrease by $0.5 million by December 31, 2025 due to expected settlements and statute expirations, all of which would reduce the income tax provision.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13—(LOSS) EARNINGS PER SHARE</w:t>
      </w:r>
    </w:p>
    <w:p>
      <w:pPr>
        <w:spacing w:after="0" w:line="229" w:lineRule="exact"/>
        <w:rPr>
          <w:sz w:val="20"/>
          <w:szCs w:val="20"/>
          <w:color w:val="auto"/>
        </w:rPr>
      </w:pPr>
    </w:p>
    <w:p>
      <w:pPr>
        <w:ind w:right="80" w:firstLine="405"/>
        <w:spacing w:after="0" w:line="255" w:lineRule="auto"/>
        <w:rPr>
          <w:sz w:val="20"/>
          <w:szCs w:val="20"/>
          <w:color w:val="auto"/>
        </w:rPr>
      </w:pPr>
      <w:r>
        <w:rPr>
          <w:rFonts w:ascii="Times New Roman" w:cs="Times New Roman" w:eastAsia="Times New Roman" w:hAnsi="Times New Roman"/>
          <w:sz w:val="18"/>
          <w:szCs w:val="18"/>
          <w:color w:val="auto"/>
        </w:rPr>
        <w:t>The Company treats its common stock and Class B common stock as one class of stock for EPS purposes as both classes of stock participate in earnings, dividends and other distributions on the same basis. The restricted stock award granted to our CEO on November 5, 2020 is a participating security. On January 13, 2025, the restricted stock award was forfeited by Mr. Levin pursuant to the Agreement between Mr. Levin and the Company. For all periods presented in these financial statements, the Company calculated basic EPS using the two-class method since those restricted shares were unvested and had a non-forfeitable dividend right in the event the Company declared a cash dividend on its common shares and would have participated in all other distributions of the Company in the same manner as all other IAC common shares. Diluted EPS is calculated on the most dilutive basis, which excludes stock-based awards that would be anti-dilutive, including the restricted stock award granted to our CEO.</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IAC INC. AND SUBSIDIARIES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240" w:firstLine="405"/>
        <w:spacing w:after="0" w:line="266" w:lineRule="auto"/>
        <w:rPr>
          <w:sz w:val="20"/>
          <w:szCs w:val="20"/>
          <w:color w:val="auto"/>
        </w:rPr>
      </w:pPr>
      <w:r>
        <w:rPr>
          <w:rFonts w:ascii="Times New Roman" w:cs="Times New Roman" w:eastAsia="Times New Roman" w:hAnsi="Times New Roman"/>
          <w:sz w:val="18"/>
          <w:szCs w:val="18"/>
          <w:color w:val="auto"/>
        </w:rPr>
        <w:t>Undistributed earnings allocated to the participating security is subtracted from earnings in determining earnings attributable to holders of IAC common stock and Class B common stock for basic EPS. Basic EPS is computed by dividing net earnings (loss) attributable to holders of IAC common stock and Class B common stock by the weighted-average number of shares of common stock and Class B common stock outstanding during the period.</w:t>
      </w:r>
    </w:p>
    <w:p>
      <w:pPr>
        <w:spacing w:after="0" w:line="176"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For the calculation of diluted EPS, net earnings (loss) attributable to holders of IAC common stock and Class B common stock is adjusted for the impact from our public subsidiary's dilutive securities, if applicable, and the reallocation of undistributed earnings allocated to the participating security by the weighted-average number of common stock and Class B common stock outstanding plus dilutive securities during the period.</w:t>
      </w:r>
    </w:p>
    <w:p>
      <w:pPr>
        <w:spacing w:after="0" w:line="176"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The numerator and denominator of basic and diluted EPS computations for the Company’s common stock and Class B common stock are calculated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60" w:type="dxa"/>
            <w:vAlign w:val="bottom"/>
            <w:gridSpan w:val="6"/>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80" w:type="dxa"/>
            <w:vAlign w:val="bottom"/>
          </w:tcPr>
          <w:p>
            <w:pPr>
              <w:spacing w:after="0"/>
              <w:rPr>
                <w:sz w:val="16"/>
                <w:szCs w:val="16"/>
                <w:color w:val="auto"/>
              </w:rPr>
            </w:pPr>
          </w:p>
        </w:tc>
      </w:tr>
      <w:tr>
        <w:trPr>
          <w:trHeight w:val="23"/>
        </w:trPr>
        <w:tc>
          <w:tcPr>
            <w:tcW w:w="74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0"/>
        </w:trPr>
        <w:tc>
          <w:tcPr>
            <w:tcW w:w="74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7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540" w:type="dxa"/>
            <w:vAlign w:val="bottom"/>
            <w:gridSpan w:val="7"/>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r>
      <w:tr>
        <w:trPr>
          <w:trHeight w:val="236"/>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EPS:</w:t>
            </w: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30"/>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earnings from continuing operations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(533,330)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(1,195,149)</w:t>
            </w:r>
          </w:p>
        </w:tc>
      </w:tr>
      <w:tr>
        <w:trPr>
          <w:trHeight w:val="230"/>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loss attributable to noncontrolling interests of continuing operations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22,285</w:t>
            </w:r>
          </w:p>
        </w:tc>
      </w:tr>
      <w:tr>
        <w:trPr>
          <w:trHeight w:val="229"/>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attributed to unvested participating security</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8"/>
        </w:trPr>
        <w:tc>
          <w:tcPr>
            <w:tcW w:w="742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Net (loss) earnings from continuing operations attributable to IAC common stock and Class B</w:t>
            </w:r>
          </w:p>
        </w:tc>
        <w:tc>
          <w:tcPr>
            <w:tcW w:w="2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r>
      <w:tr>
        <w:trPr>
          <w:trHeight w:val="261"/>
        </w:trPr>
        <w:tc>
          <w:tcPr>
            <w:tcW w:w="7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common stock shareholders</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(539,897)</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256,726</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(1,172,864)</w:t>
            </w:r>
          </w:p>
        </w:tc>
      </w:tr>
      <w:tr>
        <w:trPr>
          <w:trHeight w:val="236"/>
        </w:trPr>
        <w:tc>
          <w:tcPr>
            <w:tcW w:w="74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30"/>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from discontinued operations, net of taxes</w:t>
            </w: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2,694</w:t>
            </w:r>
          </w:p>
        </w:tc>
      </w:tr>
      <w:tr>
        <w:trPr>
          <w:trHeight w:val="230"/>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attributable to noncontrolling interests of discontinued operations</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attributed to unvested participating security</w:t>
            </w: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8"/>
        </w:trPr>
        <w:tc>
          <w:tcPr>
            <w:tcW w:w="7420" w:type="dxa"/>
            <w:vAlign w:val="bottom"/>
            <w:tcBorders>
              <w:top w:val="single" w:sz="8" w:color="CCEEFF"/>
            </w:tcBorders>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Net earnings from discontinued operations attributable to IAC common stock and Class B common</w:t>
            </w:r>
          </w:p>
        </w:tc>
        <w:tc>
          <w:tcPr>
            <w:tcW w:w="28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r>
      <w:tr>
        <w:trPr>
          <w:trHeight w:val="261"/>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shareholders</w:t>
            </w:r>
          </w:p>
        </w:tc>
        <w:tc>
          <w:tcPr>
            <w:tcW w:w="28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2,694</w:t>
            </w:r>
          </w:p>
        </w:tc>
      </w:tr>
      <w:tr>
        <w:trPr>
          <w:trHeight w:val="216"/>
        </w:trPr>
        <w:tc>
          <w:tcPr>
            <w:tcW w:w="74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248"/>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earnings attributable to IAC common stock and Class B common stock shareholders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(539,897)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(1,170,170)</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30"/>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74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Weighted average basic IAC common stock and Class B common stock shares outstanding</w:t>
            </w:r>
            <w:r>
              <w:rPr>
                <w:rFonts w:ascii="Times New Roman" w:cs="Times New Roman" w:eastAsia="Times New Roman" w:hAnsi="Times New Roman"/>
                <w:sz w:val="23"/>
                <w:szCs w:val="23"/>
                <w:color w:val="auto"/>
                <w:vertAlign w:val="superscript"/>
              </w:rPr>
              <w:t>(a)</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83,130</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83,569</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86,350</w:t>
            </w:r>
          </w:p>
        </w:tc>
      </w:tr>
      <w:tr>
        <w:trPr>
          <w:trHeight w:val="20"/>
        </w:trPr>
        <w:tc>
          <w:tcPr>
            <w:tcW w:w="74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83"/>
        </w:trPr>
        <w:tc>
          <w:tcPr>
            <w:tcW w:w="74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bl>
    <w:p>
      <w:pPr>
        <w:spacing w:after="0" w:line="1" w:lineRule="exact"/>
        <w:rPr>
          <w:sz w:val="20"/>
          <w:szCs w:val="20"/>
          <w:color w:val="auto"/>
        </w:rPr>
      </w:pPr>
    </w:p>
    <w:p>
      <w:pPr>
        <w:sectPr>
          <w:pgSz w:w="11900" w:h="16838" w:orient="portrait"/>
          <w:cols w:equalWidth="0" w:num="1">
            <w:col w:w="11240"/>
          </w:cols>
          <w:pgMar w:left="320" w:top="118" w:right="339" w:bottom="1440" w:gutter="0" w:footer="0" w:header="0"/>
        </w:sectPr>
      </w:pPr>
    </w:p>
    <w:p>
      <w:pPr>
        <w:ind w:left="20"/>
        <w:spacing w:after="0"/>
        <w:rPr>
          <w:sz w:val="20"/>
          <w:szCs w:val="20"/>
          <w:color w:val="auto"/>
        </w:rPr>
      </w:pPr>
      <w:r>
        <w:rPr>
          <w:rFonts w:ascii="Times New Roman" w:cs="Times New Roman" w:eastAsia="Times New Roman" w:hAnsi="Times New Roman"/>
          <w:sz w:val="18"/>
          <w:szCs w:val="18"/>
          <w:b w:val="1"/>
          <w:bCs w:val="1"/>
          <w:color w:val="auto"/>
        </w:rPr>
        <w:t>(Loss)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9146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(Loss) earnings per share from continuing operations attributable to IAC common stock and Class B</w:t>
      </w:r>
    </w:p>
    <w:p>
      <w:pPr>
        <w:spacing w:after="0" w:line="11" w:lineRule="exact"/>
        <w:rPr>
          <w:sz w:val="20"/>
          <w:szCs w:val="20"/>
          <w:color w:val="auto"/>
        </w:rPr>
      </w:pPr>
    </w:p>
    <w:p>
      <w:pPr>
        <w:ind w:left="20"/>
        <w:spacing w:after="0"/>
        <w:tabs>
          <w:tab w:leader="none" w:pos="7420" w:val="left"/>
        </w:tabs>
        <w:rPr>
          <w:sz w:val="20"/>
          <w:szCs w:val="20"/>
          <w:color w:val="auto"/>
        </w:rPr>
      </w:pPr>
      <w:r>
        <w:rPr>
          <w:rFonts w:ascii="Times New Roman" w:cs="Times New Roman" w:eastAsia="Times New Roman" w:hAnsi="Times New Roman"/>
          <w:sz w:val="18"/>
          <w:szCs w:val="18"/>
          <w:color w:val="auto"/>
        </w:rPr>
        <w:t>common stock shareholders</w:t>
      </w:r>
      <w:r>
        <w:rPr>
          <w:sz w:val="20"/>
          <w:szCs w:val="20"/>
          <w:color w:val="auto"/>
        </w:rPr>
        <w:tab/>
      </w:r>
      <w:r>
        <w:rPr>
          <w:rFonts w:ascii="Times New Roman" w:cs="Times New Roman" w:eastAsia="Times New Roman" w:hAnsi="Times New Roman"/>
          <w:sz w:val="16"/>
          <w:szCs w:val="16"/>
          <w:color w:val="auto"/>
        </w:rPr>
        <w:t>$</w:t>
      </w:r>
    </w:p>
    <w:p>
      <w:pPr>
        <w:spacing w:after="0" w:line="34" w:lineRule="exact"/>
        <w:rPr>
          <w:sz w:val="20"/>
          <w:szCs w:val="20"/>
          <w:color w:val="auto"/>
        </w:rPr>
      </w:pPr>
    </w:p>
    <w:p>
      <w:pPr>
        <w:ind w:left="20" w:right="380"/>
        <w:spacing w:after="0" w:line="260" w:lineRule="auto"/>
        <w:rPr>
          <w:sz w:val="20"/>
          <w:szCs w:val="20"/>
          <w:color w:val="auto"/>
        </w:rPr>
      </w:pPr>
      <w:r>
        <w:rPr>
          <w:rFonts w:ascii="Times New Roman" w:cs="Times New Roman" w:eastAsia="Times New Roman" w:hAnsi="Times New Roman"/>
          <w:sz w:val="18"/>
          <w:szCs w:val="18"/>
          <w:color w:val="auto"/>
        </w:rPr>
        <w:t>Earnings per share from discontinued operations, net of tax, attributable to IAC common stock and Class B common stock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(Loss) earnings per share attributable to IAC common stock and Class B common stock shareholders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6"/>
              </w:rPr>
              <w:t>(6.49)</w:t>
            </w: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w:t>
            </w:r>
          </w:p>
        </w:tc>
      </w:tr>
      <w:tr>
        <w:trPr>
          <w:trHeight w:val="459"/>
        </w:trPr>
        <w:tc>
          <w:tcPr>
            <w:tcW w:w="5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4"/>
                <w:szCs w:val="24"/>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r>
      <w:tr>
        <w:trPr>
          <w:trHeight w:val="223"/>
        </w:trPr>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6"/>
              </w:rPr>
              <w:t>(6.49)</w:t>
            </w: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(13.55)</w:t>
            </w:r>
          </w:p>
        </w:tc>
      </w:tr>
      <w:tr>
        <w:trPr>
          <w:trHeight w:val="20"/>
        </w:trPr>
        <w:tc>
          <w:tcPr>
            <w:tcW w:w="5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-469900</wp:posOffset>
            </wp:positionH>
            <wp:positionV relativeFrom="paragraph">
              <wp:posOffset>-8255</wp:posOffset>
            </wp:positionV>
            <wp:extent cx="76327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520" w:space="640"/>
            <w:col w:w="3080"/>
          </w:cols>
          <w:pgMar w:left="320" w:top="11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51" w:name="page152"/>
    <w:bookmarkEnd w:id="15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IAC INC. AND SUBSIDIARIES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60" w:type="dxa"/>
            <w:vAlign w:val="bottom"/>
            <w:gridSpan w:val="6"/>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80" w:type="dxa"/>
            <w:vAlign w:val="bottom"/>
          </w:tcPr>
          <w:p>
            <w:pPr>
              <w:spacing w:after="0"/>
              <w:rPr>
                <w:sz w:val="16"/>
                <w:szCs w:val="16"/>
                <w:color w:val="auto"/>
              </w:rPr>
            </w:pPr>
          </w:p>
        </w:tc>
      </w:tr>
      <w:tr>
        <w:trPr>
          <w:trHeight w:val="23"/>
        </w:trPr>
        <w:tc>
          <w:tcPr>
            <w:tcW w:w="74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0"/>
        </w:trPr>
        <w:tc>
          <w:tcPr>
            <w:tcW w:w="74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7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540" w:type="dxa"/>
            <w:vAlign w:val="bottom"/>
            <w:gridSpan w:val="7"/>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r>
      <w:tr>
        <w:trPr>
          <w:trHeight w:val="236"/>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EPS:</w:t>
            </w: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29"/>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earnings from continuing operations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(533,330)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(1,195,149)</w:t>
            </w:r>
          </w:p>
        </w:tc>
      </w:tr>
      <w:tr>
        <w:trPr>
          <w:trHeight w:val="229"/>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loss attributable to noncontrolling interests of continuing operations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22,285</w:t>
            </w:r>
          </w:p>
        </w:tc>
      </w:tr>
      <w:tr>
        <w:trPr>
          <w:trHeight w:val="230"/>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attributed to unvested participating security</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55"/>
        </w:trPr>
        <w:tc>
          <w:tcPr>
            <w:tcW w:w="742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Net (loss) earnings from continuing operations attributable to IAC common stock and Class B</w:t>
            </w:r>
          </w:p>
        </w:tc>
        <w:tc>
          <w:tcPr>
            <w:tcW w:w="2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r>
      <w:tr>
        <w:trPr>
          <w:trHeight w:val="243"/>
        </w:trPr>
        <w:tc>
          <w:tcPr>
            <w:tcW w:w="7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common stock shareholders</w:t>
            </w: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(539,897)</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257,024</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(1,172,864)</w:t>
            </w:r>
          </w:p>
        </w:tc>
      </w:tr>
      <w:tr>
        <w:trPr>
          <w:trHeight w:val="237"/>
        </w:trPr>
        <w:tc>
          <w:tcPr>
            <w:tcW w:w="74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29"/>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from discontinued operations, net of taxes</w:t>
            </w: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2,694</w:t>
            </w:r>
          </w:p>
        </w:tc>
      </w:tr>
      <w:tr>
        <w:trPr>
          <w:trHeight w:val="229"/>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attributable to noncontrolling interests of discontinued operations</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attributed to unvested participating security</w:t>
            </w: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55"/>
        </w:trPr>
        <w:tc>
          <w:tcPr>
            <w:tcW w:w="742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Net earnings from discontinued operations attributable to IAC common stock and Class B common</w:t>
            </w:r>
          </w:p>
        </w:tc>
        <w:tc>
          <w:tcPr>
            <w:tcW w:w="28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r>
      <w:tr>
        <w:trPr>
          <w:trHeight w:val="243"/>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shareholders</w:t>
            </w:r>
          </w:p>
        </w:tc>
        <w:tc>
          <w:tcPr>
            <w:tcW w:w="2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2,694</w:t>
            </w:r>
          </w:p>
        </w:tc>
      </w:tr>
      <w:tr>
        <w:trPr>
          <w:trHeight w:val="257"/>
        </w:trPr>
        <w:tc>
          <w:tcPr>
            <w:tcW w:w="74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r>
      <w:tr>
        <w:trPr>
          <w:trHeight w:val="248"/>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earnings attributable to IAC common stock and Class B common stock shareholders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(539,897)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(1,170,170)</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57"/>
        </w:trPr>
        <w:tc>
          <w:tcPr>
            <w:tcW w:w="74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r>
      <w:tr>
        <w:trPr>
          <w:trHeight w:val="230"/>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74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Weighted average basic IAC common stock and Class B common stock shares outstanding</w:t>
            </w:r>
            <w:r>
              <w:rPr>
                <w:rFonts w:ascii="Times New Roman" w:cs="Times New Roman" w:eastAsia="Times New Roman" w:hAnsi="Times New Roman"/>
                <w:sz w:val="23"/>
                <w:szCs w:val="23"/>
                <w:color w:val="auto"/>
                <w:vertAlign w:val="superscript"/>
              </w:rPr>
              <w:t>(a)</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86,350</w:t>
            </w:r>
          </w:p>
        </w:tc>
      </w:tr>
      <w:tr>
        <w:trPr>
          <w:trHeight w:val="230"/>
        </w:trPr>
        <w:tc>
          <w:tcPr>
            <w:tcW w:w="74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Dilutive securities</w:t>
            </w:r>
            <w:r>
              <w:rPr>
                <w:rFonts w:ascii="Times New Roman" w:cs="Times New Roman" w:eastAsia="Times New Roman" w:hAnsi="Times New Roman"/>
                <w:sz w:val="23"/>
                <w:szCs w:val="23"/>
                <w:color w:val="auto"/>
                <w:vertAlign w:val="superscript"/>
              </w:rPr>
              <w:t>(b)(c)(d)</w:t>
            </w: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7420" w:type="dxa"/>
            <w:vAlign w:val="bottom"/>
            <w:tcBorders>
              <w:top w:val="single" w:sz="8" w:color="CCEEFF"/>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Denominator for earnings per share—weighted average shares</w:t>
            </w:r>
            <w:r>
              <w:rPr>
                <w:rFonts w:ascii="Times New Roman" w:cs="Times New Roman" w:eastAsia="Times New Roman" w:hAnsi="Times New Roman"/>
                <w:sz w:val="23"/>
                <w:szCs w:val="23"/>
                <w:color w:val="auto"/>
                <w:vertAlign w:val="superscript"/>
              </w:rPr>
              <w:t>(b)(c)(d)</w:t>
            </w: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86,350</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30"/>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earnings per share: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175"/>
        </w:trPr>
        <w:tc>
          <w:tcPr>
            <w:tcW w:w="74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(Loss) earnings per share from continuing operations attributable to IAC common stock and Class B</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43"/>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shareholders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w:t>
            </w:r>
          </w:p>
        </w:tc>
      </w:tr>
      <w:tr>
        <w:trPr>
          <w:trHeight w:val="175"/>
        </w:trPr>
        <w:tc>
          <w:tcPr>
            <w:tcW w:w="74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Earnings per share from discontinued operations, net of tax, attributable to IAC common stock and</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43"/>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B common stock shareholders</w:t>
            </w:r>
          </w:p>
        </w:tc>
        <w:tc>
          <w:tcPr>
            <w:tcW w:w="2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r>
      <w:tr>
        <w:trPr>
          <w:trHeight w:val="223"/>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earnings per share attributable to IAC common stock and Class B common stock shareholders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(13.55)</w:t>
            </w:r>
          </w:p>
        </w:tc>
      </w:tr>
      <w:tr>
        <w:trPr>
          <w:trHeight w:val="20"/>
        </w:trPr>
        <w:tc>
          <w:tcPr>
            <w:tcW w:w="7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99" w:lineRule="exact"/>
        <w:rPr>
          <w:sz w:val="20"/>
          <w:szCs w:val="20"/>
          <w:color w:val="auto"/>
        </w:rPr>
      </w:pPr>
    </w:p>
    <w:p>
      <w:pPr>
        <w:ind w:left="660" w:right="40" w:hanging="328"/>
        <w:spacing w:after="0" w:line="265" w:lineRule="auto"/>
        <w:tabs>
          <w:tab w:leader="none" w:pos="675"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November 5, 2020, IAC's CEO was granted a stock-based award in the form of 3.0 million shares of restricted common stock. On January 13, 2025, the restricted stock award was forfeited by Mr. Levin pursuant to the Agreement between Mr. Levin and the Company. See “</w:t>
      </w:r>
      <w:r>
        <w:rPr>
          <w:rFonts w:ascii="Times New Roman" w:cs="Times New Roman" w:eastAsia="Times New Roman" w:hAnsi="Times New Roman"/>
          <w:sz w:val="14"/>
          <w:szCs w:val="14"/>
          <w:u w:val="single" w:color="auto"/>
          <w:color w:val="0000FF"/>
        </w:rPr>
        <w:t>Note 10—Stock-Based Compensation</w:t>
      </w:r>
      <w:r>
        <w:rPr>
          <w:rFonts w:ascii="Times New Roman" w:cs="Times New Roman" w:eastAsia="Times New Roman" w:hAnsi="Times New Roman"/>
          <w:sz w:val="14"/>
          <w:szCs w:val="14"/>
          <w:color w:val="auto"/>
        </w:rPr>
        <w:t>” for additional information. For all periods presented in these financial statements, the Company calculated EPS using the two-class method since those restricted shares were unvested and had a non-forfeitable dividend right in the event the Company declared a cash dividend on its common shares and would have participated in all other distributions of the Company in the same manner as all other IAC common shares. While the restricted shares are presented as outstanding shares in the balance sheet, these shares are excluded from the weighted average shares outstanding in calculating basic EPS and the allocable portion of net earnings are also excluded. Fully diluted EPS reflects the impact on earnings and fully diluted shares in the manner that is most dilutive.</w:t>
      </w:r>
    </w:p>
    <w:p>
      <w:pPr>
        <w:spacing w:after="0" w:line="256" w:lineRule="exact"/>
        <w:rPr>
          <w:rFonts w:ascii="Times New Roman" w:cs="Times New Roman" w:eastAsia="Times New Roman" w:hAnsi="Times New Roman"/>
          <w:sz w:val="14"/>
          <w:szCs w:val="14"/>
          <w:color w:val="auto"/>
        </w:rPr>
      </w:pPr>
    </w:p>
    <w:p>
      <w:pPr>
        <w:ind w:left="660" w:right="60" w:hanging="328"/>
        <w:spacing w:after="0" w:line="282" w:lineRule="auto"/>
        <w:tabs>
          <w:tab w:leader="none" w:pos="683"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IAC has the option to settle certain Angi stock-based awards in its shares. The impact on net earnings relates to the settlement of Angi's dilutive securities in IAC common shares. For the years ended December 31, 2024, 2023 and 2022 these Angi equity awards were anti-dilutive.</w:t>
      </w:r>
    </w:p>
    <w:p>
      <w:pPr>
        <w:spacing w:after="0" w:line="67" w:lineRule="exact"/>
        <w:rPr>
          <w:rFonts w:ascii="Times New Roman" w:cs="Times New Roman" w:eastAsia="Times New Roman" w:hAnsi="Times New Roman"/>
          <w:sz w:val="14"/>
          <w:szCs w:val="14"/>
          <w:color w:val="auto"/>
        </w:rPr>
      </w:pPr>
    </w:p>
    <w:p>
      <w:pPr>
        <w:ind w:left="660" w:right="140" w:hanging="328"/>
        <w:spacing w:after="0" w:line="281" w:lineRule="auto"/>
        <w:tabs>
          <w:tab w:leader="none" w:pos="675"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years ended December 31, 2024 and 2022, the Company had losses from continuing operations and, as a result, approximately 8.5 million and 7.9 million potentially dilutive securities, respectively, were excluded from computing diluted EPS for each of these periods because the impact would have been anti-dilutive. Accordingly, the weighted average basic shares outstanding were used to compute the EPS amounts for the years ended December 31, 2024 and 2022.</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IAC INC. AND SUBSIDIARIES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ind w:left="660" w:right="140" w:hanging="328"/>
        <w:spacing w:after="0" w:line="271" w:lineRule="auto"/>
        <w:tabs>
          <w:tab w:leader="none" w:pos="683"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effect is dilutive, weighted average common shares outstanding include the incremental shares that would be issued upon the assumed exercise of stock options and subsidiary denominated equity and vesting of restricted common stock, restricted stock units (“RSUs”) and market-based awards (“MSUs”). For the year ended December 31, 2023, 3.6 million of potentially dilutive securities were excluded from the calculation of diluted EPS because their inclusion would have been anti-dilutive.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14—FINANCIAL STATEMENT DETAILS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 and Restricted Cash</w:t>
      </w:r>
    </w:p>
    <w:p>
      <w:pPr>
        <w:spacing w:after="0" w:line="229" w:lineRule="exact"/>
        <w:rPr>
          <w:sz w:val="20"/>
          <w:szCs w:val="20"/>
          <w:color w:val="auto"/>
        </w:rPr>
      </w:pPr>
    </w:p>
    <w:p>
      <w:pPr>
        <w:ind w:right="22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and cash equivalents and restricted cash reported within the balance sheet to the total amounts shown in the statement of cash flows: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Pr>
          <w:p>
            <w:pPr>
              <w:spacing w:after="0"/>
              <w:rPr>
                <w:sz w:val="16"/>
                <w:szCs w:val="16"/>
                <w:color w:val="auto"/>
              </w:rPr>
            </w:pP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00" w:type="dxa"/>
            <w:vAlign w:val="bottom"/>
          </w:tcPr>
          <w:p>
            <w:pPr>
              <w:spacing w:after="0"/>
              <w:rPr>
                <w:sz w:val="16"/>
                <w:szCs w:val="16"/>
                <w:color w:val="auto"/>
              </w:rPr>
            </w:pPr>
          </w:p>
        </w:tc>
        <w:tc>
          <w:tcPr>
            <w:tcW w:w="156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40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90"/>
        </w:trPr>
        <w:tc>
          <w:tcPr>
            <w:tcW w:w="4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60" w:type="dxa"/>
            <w:vAlign w:val="bottom"/>
            <w:gridSpan w:val="5"/>
          </w:tcPr>
          <w:p>
            <w:pPr>
              <w:ind w:left="11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36"/>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1,798,170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1,297,445</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1,417,390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2,118,730</w:t>
            </w:r>
          </w:p>
        </w:tc>
      </w:tr>
      <w:tr>
        <w:trPr>
          <w:trHeight w:val="230"/>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included in other current assets</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1,941</w:t>
            </w:r>
          </w:p>
        </w:tc>
      </w:tr>
      <w:tr>
        <w:trPr>
          <w:trHeight w:val="22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included in other non-current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w:t>
            </w:r>
          </w:p>
        </w:tc>
      </w:tr>
      <w:tr>
        <w:trPr>
          <w:trHeight w:val="205"/>
        </w:trPr>
        <w:tc>
          <w:tcPr>
            <w:tcW w:w="4020" w:type="dxa"/>
            <w:vAlign w:val="bottom"/>
          </w:tcPr>
          <w:p>
            <w:pPr>
              <w:ind w:left="180"/>
              <w:spacing w:after="0" w:line="205" w:lineRule="exact"/>
              <w:rPr>
                <w:sz w:val="20"/>
                <w:szCs w:val="20"/>
                <w:color w:val="auto"/>
              </w:rPr>
            </w:pPr>
            <w:r>
              <w:rPr>
                <w:rFonts w:ascii="Times New Roman" w:cs="Times New Roman" w:eastAsia="Times New Roman" w:hAnsi="Times New Roman"/>
                <w:sz w:val="18"/>
                <w:szCs w:val="18"/>
                <w:color w:val="auto"/>
              </w:rPr>
              <w:t>Total cash and cash equivalents and restricted cash</w:t>
            </w: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34"/>
        </w:trPr>
        <w:tc>
          <w:tcPr>
            <w:tcW w:w="4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 shown on the statement of cash flows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1,807,255</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1,306,241</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1,426,069</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2,121,864</w:t>
            </w:r>
          </w:p>
        </w:tc>
      </w:tr>
      <w:tr>
        <w:trPr>
          <w:trHeight w:val="21"/>
        </w:trPr>
        <w:tc>
          <w:tcPr>
            <w:tcW w:w="4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40" w:firstLine="405"/>
        <w:spacing w:after="0" w:line="282" w:lineRule="auto"/>
        <w:rPr>
          <w:sz w:val="20"/>
          <w:szCs w:val="20"/>
          <w:color w:val="auto"/>
        </w:rPr>
      </w:pPr>
      <w:r>
        <w:rPr>
          <w:rFonts w:ascii="Times New Roman" w:cs="Times New Roman" w:eastAsia="Times New Roman" w:hAnsi="Times New Roman"/>
          <w:sz w:val="18"/>
          <w:szCs w:val="18"/>
          <w:color w:val="auto"/>
        </w:rPr>
        <w:t>Restricted cash included in “Other current assets” in the balance sheet at December 31, 2024 and December 31, 2023 primarily consist of cash held in escrow related to the funded pension plan in the U.K. and cash held related to insurance programs at Care.com.</w:t>
      </w:r>
    </w:p>
    <w:p>
      <w:pPr>
        <w:spacing w:after="0" w:line="162"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Restricted cash included in “Other current assets” in the balance sheet at December 31, 2022 primarily consists of cash held related to insurance programs at Care.com. Restricted cash included in “Other non-current assets” in the balance sheet at December 31, 2022 primarily consists of cash held in escrow related to the funded pension plan in the U.K. as well as a check endorsement guarantee at Roofing within Emerging &amp; Other and deposits related to leases.</w:t>
      </w:r>
    </w:p>
    <w:p>
      <w:pPr>
        <w:spacing w:after="0" w:line="180" w:lineRule="exact"/>
        <w:rPr>
          <w:sz w:val="20"/>
          <w:szCs w:val="20"/>
          <w:color w:val="auto"/>
        </w:rPr>
      </w:pPr>
    </w:p>
    <w:p>
      <w:pPr>
        <w:ind w:right="180" w:firstLine="405"/>
        <w:spacing w:after="0" w:line="266" w:lineRule="auto"/>
        <w:rPr>
          <w:sz w:val="20"/>
          <w:szCs w:val="20"/>
          <w:color w:val="auto"/>
        </w:rPr>
      </w:pPr>
      <w:r>
        <w:rPr>
          <w:rFonts w:ascii="Times New Roman" w:cs="Times New Roman" w:eastAsia="Times New Roman" w:hAnsi="Times New Roman"/>
          <w:sz w:val="18"/>
          <w:szCs w:val="18"/>
          <w:color w:val="auto"/>
        </w:rPr>
        <w:t>Restricted cash included in “Other current assets” in the balance sheet at December 31, 2021 primarily consists of cash held in escrow related to the funded pension plan in the U.K. Restricted cash included in “Other non-current assets” in the balance sheet at December 31, 2021 consists of deposits related to leases and a check endorsement guarantee at Roofing within Emerging &amp; Other.</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IAC INC. AND SUBSIDIARIES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Losses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the changes in the allowance for credit losses: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4"/>
          </w:tcPr>
          <w:p>
            <w:pPr>
              <w:jc w:val="center"/>
              <w:ind w:right="23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8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6"/>
        </w:trPr>
        <w:tc>
          <w:tcPr>
            <w:tcW w:w="8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00" w:type="dxa"/>
            <w:vAlign w:val="bottom"/>
            <w:gridSpan w:val="3"/>
          </w:tcPr>
          <w:p>
            <w:pPr>
              <w:jc w:val="center"/>
              <w:ind w:left="51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32,379</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50,971</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period provision for credit losses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61,949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87,729</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Write-offs charged against the allowance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(73,825)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(104,764)</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Recoveries collected</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5,227</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 of a business</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(6,958)</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27,913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32,379</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Other current assets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82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8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gridSpan w:val="3"/>
          </w:tcPr>
          <w:p>
            <w:pPr>
              <w:jc w:val="center"/>
              <w:ind w:left="53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8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6"/>
        </w:trPr>
        <w:tc>
          <w:tcPr>
            <w:tcW w:w="8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00" w:type="dxa"/>
            <w:vAlign w:val="bottom"/>
            <w:gridSpan w:val="3"/>
          </w:tcPr>
          <w:p>
            <w:pPr>
              <w:jc w:val="center"/>
              <w:ind w:left="51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51,802</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91,118</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115,373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166,381</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current assets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167,175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257,499</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Buildings, land, capitalized software, equipment and leasehold improvements, net</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3"/>
        </w:trPr>
        <w:tc>
          <w:tcPr>
            <w:tcW w:w="82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8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gridSpan w:val="3"/>
          </w:tcPr>
          <w:p>
            <w:pPr>
              <w:jc w:val="center"/>
              <w:ind w:left="53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8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6"/>
        </w:trPr>
        <w:tc>
          <w:tcPr>
            <w:tcW w:w="8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00" w:type="dxa"/>
            <w:vAlign w:val="bottom"/>
            <w:gridSpan w:val="3"/>
          </w:tcPr>
          <w:p>
            <w:pPr>
              <w:jc w:val="center"/>
              <w:ind w:left="51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software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291,165</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299,763</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165,700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160,567</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 (including furniture)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136,881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160,991</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92,324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108,273</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86,045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86,032</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Projects in progress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40,187</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13,911</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gross carrying amount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812,302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829,537</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(419,541)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(374,256)</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Buildings, land, capitalized software, equipment and leasehold improvements, net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392,761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455,281</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IAC INC. AND SUBSIDIARIES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Accrued expenses and other current liabilities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gridSpan w:val="4"/>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6"/>
        </w:trPr>
        <w:tc>
          <w:tcPr>
            <w:tcW w:w="6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gridSpan w:val="4"/>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employee compensation and benefits</w:t>
            </w: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30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199,398</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180,384</w:t>
            </w:r>
          </w:p>
        </w:tc>
        <w:tc>
          <w:tcPr>
            <w:tcW w:w="0" w:type="dxa"/>
            <w:vAlign w:val="bottom"/>
          </w:tcPr>
          <w:p>
            <w:pPr>
              <w:spacing w:after="0"/>
              <w:rPr>
                <w:sz w:val="1"/>
                <w:szCs w:val="1"/>
                <w:color w:val="auto"/>
              </w:rPr>
            </w:pPr>
          </w:p>
        </w:tc>
      </w:tr>
      <w:tr>
        <w:trPr>
          <w:trHeight w:val="229"/>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deposit liability</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118,464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118,522</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advertising expense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62,705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56,055</w:t>
            </w:r>
          </w:p>
        </w:tc>
        <w:tc>
          <w:tcPr>
            <w:tcW w:w="0" w:type="dxa"/>
            <w:vAlign w:val="bottom"/>
          </w:tcPr>
          <w:p>
            <w:pPr>
              <w:spacing w:after="0"/>
              <w:rPr>
                <w:sz w:val="1"/>
                <w:szCs w:val="1"/>
                <w:color w:val="auto"/>
              </w:rPr>
            </w:pPr>
          </w:p>
        </w:tc>
      </w:tr>
      <w:tr>
        <w:trPr>
          <w:trHeight w:val="229"/>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300,066</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316,566</w:t>
            </w:r>
          </w:p>
        </w:tc>
        <w:tc>
          <w:tcPr>
            <w:tcW w:w="0" w:type="dxa"/>
            <w:vAlign w:val="bottom"/>
          </w:tcPr>
          <w:p>
            <w:pPr>
              <w:spacing w:after="0"/>
              <w:rPr>
                <w:sz w:val="1"/>
                <w:szCs w:val="1"/>
                <w:color w:val="auto"/>
              </w:rPr>
            </w:pPr>
          </w:p>
        </w:tc>
      </w:tr>
      <w:tr>
        <w:trPr>
          <w:trHeight w:val="248"/>
        </w:trPr>
        <w:tc>
          <w:tcPr>
            <w:tcW w:w="67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680,633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671,527</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Other income (expense), net</w:t>
            </w:r>
          </w:p>
        </w:tc>
        <w:tc>
          <w:tcPr>
            <w:tcW w:w="3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0"/>
        </w:trPr>
        <w:tc>
          <w:tcPr>
            <w:tcW w:w="67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6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2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7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96"/>
        </w:trPr>
        <w:tc>
          <w:tcPr>
            <w:tcW w:w="6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86,495</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71,114</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24,916</w:t>
            </w:r>
          </w:p>
        </w:tc>
        <w:tc>
          <w:tcPr>
            <w:tcW w:w="0" w:type="dxa"/>
            <w:vAlign w:val="bottom"/>
          </w:tcPr>
          <w:p>
            <w:pPr>
              <w:spacing w:after="0"/>
              <w:rPr>
                <w:sz w:val="1"/>
                <w:szCs w:val="1"/>
                <w:color w:val="auto"/>
              </w:rPr>
            </w:pPr>
          </w:p>
        </w:tc>
      </w:tr>
      <w:tr>
        <w:trPr>
          <w:trHeight w:val="23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increase (decrease) in the estimated fair value of a warrant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(62,495)</w:t>
            </w:r>
          </w:p>
        </w:tc>
        <w:tc>
          <w:tcPr>
            <w:tcW w:w="0" w:type="dxa"/>
            <w:vAlign w:val="bottom"/>
          </w:tcPr>
          <w:p>
            <w:pPr>
              <w:spacing w:after="0"/>
              <w:rPr>
                <w:sz w:val="1"/>
                <w:szCs w:val="1"/>
                <w:color w:val="auto"/>
              </w:rPr>
            </w:pPr>
          </w:p>
        </w:tc>
      </w:tr>
      <w:tr>
        <w:trPr>
          <w:trHeight w:val="184"/>
        </w:trPr>
        <w:tc>
          <w:tcPr>
            <w:tcW w:w="67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Net realized gain (loss) on sales of businesses and investments and (downward) upward</w:t>
            </w: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676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adjustments to the carrying value of equity securities without readily determinable fair</w:t>
            </w:r>
          </w:p>
        </w:tc>
        <w:tc>
          <w:tcPr>
            <w:tcW w:w="34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10,373</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59,299</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26"/>
                <w:szCs w:val="26"/>
                <w:color w:val="auto"/>
                <w:vertAlign w:val="subscript"/>
              </w:rPr>
              <w:t>values</w:t>
            </w:r>
            <w:r>
              <w:rPr>
                <w:rFonts w:ascii="Times New Roman" w:cs="Times New Roman" w:eastAsia="Times New Roman" w:hAnsi="Times New Roman"/>
                <w:sz w:val="10"/>
                <w:szCs w:val="10"/>
                <w:color w:val="auto"/>
              </w:rPr>
              <w:t>(a)(b)(c)</w:t>
            </w:r>
          </w:p>
        </w:tc>
        <w:tc>
          <w:tcPr>
            <w:tcW w:w="34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Net periodic pension benefit credit (costs), other than the service cost component</w:t>
            </w:r>
            <w:r>
              <w:rPr>
                <w:rFonts w:ascii="Times New Roman" w:cs="Times New Roman" w:eastAsia="Times New Roman" w:hAnsi="Times New Roman"/>
                <w:sz w:val="23"/>
                <w:szCs w:val="23"/>
                <w:color w:val="auto"/>
                <w:vertAlign w:val="superscript"/>
              </w:rPr>
              <w:t>(d)</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(206,422)</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 (loss) related to marketable equity securities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(20,342)</w:t>
            </w:r>
          </w:p>
        </w:tc>
        <w:tc>
          <w:tcPr>
            <w:tcW w:w="0" w:type="dxa"/>
            <w:vAlign w:val="bottom"/>
          </w:tcPr>
          <w:p>
            <w:pPr>
              <w:spacing w:after="0"/>
              <w:rPr>
                <w:sz w:val="1"/>
                <w:szCs w:val="1"/>
                <w:color w:val="auto"/>
              </w:rPr>
            </w:pPr>
          </w:p>
        </w:tc>
      </w:tr>
      <w:tr>
        <w:trPr>
          <w:trHeight w:val="230"/>
        </w:trPr>
        <w:tc>
          <w:tcPr>
            <w:tcW w:w="67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Dotdash Meredith Credit Agreement amendment fees</w:t>
            </w:r>
            <w:r>
              <w:rPr>
                <w:rFonts w:ascii="Times New Roman" w:cs="Times New Roman" w:eastAsia="Times New Roman" w:hAnsi="Times New Roman"/>
                <w:sz w:val="23"/>
                <w:szCs w:val="23"/>
                <w:color w:val="auto"/>
                <w:vertAlign w:val="superscript"/>
              </w:rPr>
              <w:t>(e)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(losses) gains, net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(8,503)</w:t>
            </w:r>
          </w:p>
        </w:tc>
        <w:tc>
          <w:tcPr>
            <w:tcW w:w="0" w:type="dxa"/>
            <w:vAlign w:val="bottom"/>
          </w:tcPr>
          <w:p>
            <w:pPr>
              <w:spacing w:after="0"/>
              <w:rPr>
                <w:sz w:val="1"/>
                <w:szCs w:val="1"/>
                <w:color w:val="auto"/>
              </w:rPr>
            </w:pPr>
          </w:p>
        </w:tc>
      </w:tr>
      <w:tr>
        <w:trPr>
          <w:trHeight w:val="230"/>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7,595</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(4,238)</w:t>
            </w:r>
          </w:p>
        </w:tc>
        <w:tc>
          <w:tcPr>
            <w:tcW w:w="0" w:type="dxa"/>
            <w:vAlign w:val="bottom"/>
          </w:tcPr>
          <w:p>
            <w:pPr>
              <w:spacing w:after="0"/>
              <w:rPr>
                <w:sz w:val="1"/>
                <w:szCs w:val="1"/>
                <w:color w:val="auto"/>
              </w:rPr>
            </w:pPr>
          </w:p>
        </w:tc>
      </w:tr>
      <w:tr>
        <w:trPr>
          <w:trHeight w:val="248"/>
        </w:trPr>
        <w:tc>
          <w:tcPr>
            <w:tcW w:w="67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116,897</w:t>
            </w:r>
          </w:p>
        </w:tc>
        <w:tc>
          <w:tcPr>
            <w:tcW w:w="100" w:type="dxa"/>
            <w:vAlign w:val="bottom"/>
            <w:tcBorders>
              <w:bottom w:val="single" w:sz="8" w:color="CCEEFF"/>
            </w:tcBorders>
            <w:gridSpan w:val="2"/>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63,862</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(217,785)</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207" w:lineRule="exact"/>
        <w:rPr>
          <w:sz w:val="20"/>
          <w:szCs w:val="20"/>
          <w:color w:val="auto"/>
        </w:rPr>
      </w:pPr>
    </w:p>
    <w:p>
      <w:pPr>
        <w:ind w:left="660" w:right="180" w:hanging="328"/>
        <w:spacing w:after="0" w:line="221" w:lineRule="auto"/>
        <w:tabs>
          <w:tab w:leader="none" w:pos="475" w:val="left"/>
        </w:tabs>
        <w:numPr>
          <w:ilvl w:val="0"/>
          <w:numId w:val="6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downward and upward adjustments to the carrying value of equity securities without readily determinable fair values. For the years ended December 31, 2024, 2023 and 2022, the Company recorded net downward adjustments of $32.3 million, $20.2 million and $89.1 million, respectively.</w:t>
      </w:r>
    </w:p>
    <w:p>
      <w:pPr>
        <w:spacing w:after="0" w:line="82" w:lineRule="exact"/>
        <w:rPr>
          <w:rFonts w:ascii="Times New Roman" w:cs="Times New Roman" w:eastAsia="Times New Roman" w:hAnsi="Times New Roman"/>
          <w:sz w:val="19"/>
          <w:szCs w:val="19"/>
          <w:color w:val="auto"/>
          <w:vertAlign w:val="superscript"/>
        </w:rPr>
      </w:pPr>
    </w:p>
    <w:p>
      <w:pPr>
        <w:ind w:left="660" w:right="120" w:hanging="328"/>
        <w:spacing w:after="0" w:line="221" w:lineRule="auto"/>
        <w:tabs>
          <w:tab w:leader="none" w:pos="589" w:val="left"/>
        </w:tabs>
        <w:numPr>
          <w:ilvl w:val="0"/>
          <w:numId w:val="6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a pre-tax gain of $29.2 million on the sale of assets of Mosaic Group, which was included within Emerging &amp; Other, and was accounted for as a sale of a business, in the year ended December 31, 2024.</w:t>
      </w:r>
    </w:p>
    <w:p>
      <w:pPr>
        <w:spacing w:after="0" w:line="204" w:lineRule="exact"/>
        <w:rPr>
          <w:rFonts w:ascii="Times New Roman" w:cs="Times New Roman" w:eastAsia="Times New Roman" w:hAnsi="Times New Roman"/>
          <w:sz w:val="19"/>
          <w:szCs w:val="19"/>
          <w:color w:val="auto"/>
          <w:vertAlign w:val="superscript"/>
        </w:rPr>
      </w:pPr>
    </w:p>
    <w:p>
      <w:pPr>
        <w:ind w:left="660" w:right="220" w:hanging="328"/>
        <w:spacing w:after="0" w:line="281" w:lineRule="auto"/>
        <w:tabs>
          <w:tab w:leader="none" w:pos="583" w:val="left"/>
        </w:tabs>
        <w:numPr>
          <w:ilvl w:val="0"/>
          <w:numId w:val="6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a gain of approximately $132.2 million on the sale of Bluecrew in the year ended December 31, 2022. On November 9, 2022, the Company completed the sale of Bluecrew, which was included within Emerging &amp; Other, to EmployBridge, a provider of light industrial staffing solutions, for cash and stock with the Company becoming a minority shareholder in the combined company.</w:t>
      </w:r>
    </w:p>
    <w:p>
      <w:pPr>
        <w:spacing w:after="0" w:line="69" w:lineRule="exact"/>
        <w:rPr>
          <w:rFonts w:ascii="Times New Roman" w:cs="Times New Roman" w:eastAsia="Times New Roman" w:hAnsi="Times New Roman"/>
          <w:sz w:val="9"/>
          <w:szCs w:val="9"/>
          <w:color w:val="auto"/>
        </w:rPr>
      </w:pPr>
    </w:p>
    <w:p>
      <w:pPr>
        <w:ind w:left="660" w:right="200" w:hanging="328"/>
        <w:spacing w:after="0" w:line="221" w:lineRule="auto"/>
        <w:tabs>
          <w:tab w:leader="none" w:pos="589" w:val="left"/>
        </w:tabs>
        <w:numPr>
          <w:ilvl w:val="0"/>
          <w:numId w:val="6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pre-tax actuarial gains (losses) of $6.0 million, $1.7 million and $(213.4) million for the years ended December 31, 2024, 2023 and 2022, respectively, related to the pension plans in the U.S. and U.K. See “</w:t>
      </w:r>
      <w:r>
        <w:rPr>
          <w:rFonts w:ascii="Times New Roman" w:cs="Times New Roman" w:eastAsia="Times New Roman" w:hAnsi="Times New Roman"/>
          <w:sz w:val="14"/>
          <w:szCs w:val="14"/>
          <w:u w:val="single" w:color="auto"/>
          <w:color w:val="0000FF"/>
        </w:rPr>
        <w:t>Note 11—Pension and Post-Retirement Benefit Plans</w:t>
      </w:r>
      <w:r>
        <w:rPr>
          <w:rFonts w:ascii="Times New Roman" w:cs="Times New Roman" w:eastAsia="Times New Roman" w:hAnsi="Times New Roman"/>
          <w:sz w:val="14"/>
          <w:szCs w:val="14"/>
          <w:color w:val="auto"/>
        </w:rPr>
        <w:t>” for additional information.</w:t>
      </w:r>
    </w:p>
    <w:p>
      <w:pPr>
        <w:spacing w:after="0" w:line="82" w:lineRule="exact"/>
        <w:rPr>
          <w:rFonts w:ascii="Times New Roman" w:cs="Times New Roman" w:eastAsia="Times New Roman" w:hAnsi="Times New Roman"/>
          <w:sz w:val="19"/>
          <w:szCs w:val="19"/>
          <w:color w:val="auto"/>
          <w:vertAlign w:val="superscript"/>
        </w:rPr>
      </w:pPr>
    </w:p>
    <w:p>
      <w:pPr>
        <w:ind w:left="660" w:right="340" w:hanging="328"/>
        <w:spacing w:after="0" w:line="230" w:lineRule="auto"/>
        <w:tabs>
          <w:tab w:leader="none" w:pos="583" w:val="left"/>
        </w:tabs>
        <w:numPr>
          <w:ilvl w:val="0"/>
          <w:numId w:val="6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Relates to third-party fees in connection with the Amended Dotdash Meredith Credit Agreement entered into on November 26, 2024. See “</w:t>
      </w:r>
      <w:r>
        <w:rPr>
          <w:rFonts w:ascii="Times New Roman" w:cs="Times New Roman" w:eastAsia="Times New Roman" w:hAnsi="Times New Roman"/>
          <w:sz w:val="14"/>
          <w:szCs w:val="14"/>
          <w:u w:val="single" w:color="auto"/>
          <w:color w:val="0000FF"/>
        </w:rPr>
        <w:t>Note 6—Long-term debt</w:t>
      </w:r>
      <w:r>
        <w:rPr>
          <w:rFonts w:ascii="Times New Roman" w:cs="Times New Roman" w:eastAsia="Times New Roman" w:hAnsi="Times New Roman"/>
          <w:sz w:val="14"/>
          <w:szCs w:val="14"/>
          <w:color w:val="auto"/>
        </w:rPr>
        <w:t>”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IAC INC. AND SUBSIDIARIES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left="666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33655</wp:posOffset>
            </wp:positionV>
            <wp:extent cx="286321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863215" cy="8890"/>
                    </a:xfrm>
                    <a:prstGeom prst="rect">
                      <a:avLst/>
                    </a:prstGeom>
                    <a:noFill/>
                  </pic:spPr>
                </pic:pic>
              </a:graphicData>
            </a:graphic>
          </wp:anchor>
        </w:drawing>
      </w:r>
    </w:p>
    <w:p>
      <w:pPr>
        <w:spacing w:after="0" w:line="35" w:lineRule="exact"/>
        <w:rPr>
          <w:sz w:val="20"/>
          <w:szCs w:val="20"/>
          <w:color w:val="auto"/>
        </w:rPr>
      </w:pPr>
    </w:p>
    <w:p>
      <w:pPr>
        <w:ind w:left="7280"/>
        <w:spacing w:after="0"/>
        <w:tabs>
          <w:tab w:leader="none" w:pos="8800" w:val="left"/>
          <w:tab w:leader="none" w:pos="1034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33655</wp:posOffset>
            </wp:positionV>
            <wp:extent cx="286321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35"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received during the year for:</w:t>
            </w:r>
          </w:p>
        </w:tc>
        <w:tc>
          <w:tcPr>
            <w:tcW w:w="2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484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Interest, net</w:t>
            </w:r>
            <w:r>
              <w:rPr>
                <w:rFonts w:ascii="Times New Roman" w:cs="Times New Roman" w:eastAsia="Times New Roman" w:hAnsi="Times New Roman"/>
                <w:sz w:val="23"/>
                <w:szCs w:val="23"/>
                <w:color w:val="auto"/>
                <w:vertAlign w:val="superscript"/>
              </w:rPr>
              <w:t>(f)</w:t>
            </w:r>
          </w:p>
        </w:tc>
        <w:tc>
          <w:tcPr>
            <w:tcW w:w="22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(150,610)</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(156,172)</w:t>
            </w:r>
          </w:p>
        </w:tc>
        <w:tc>
          <w:tcPr>
            <w:tcW w:w="5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(98,150)</w:t>
            </w:r>
          </w:p>
        </w:tc>
      </w:tr>
      <w:tr>
        <w:trPr>
          <w:trHeight w:val="230"/>
        </w:trPr>
        <w:tc>
          <w:tcPr>
            <w:tcW w:w="4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payments</w:t>
            </w:r>
          </w:p>
        </w:tc>
        <w:tc>
          <w:tcPr>
            <w:tcW w:w="22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(30,635)</w:t>
            </w:r>
          </w:p>
        </w:tc>
        <w:tc>
          <w:tcPr>
            <w:tcW w:w="4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(18,782)</w:t>
            </w:r>
          </w:p>
        </w:tc>
        <w:tc>
          <w:tcPr>
            <w:tcW w:w="5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(16,407)</w:t>
            </w:r>
          </w:p>
        </w:tc>
      </w:tr>
      <w:tr>
        <w:trPr>
          <w:trHeight w:val="234"/>
        </w:trPr>
        <w:tc>
          <w:tcPr>
            <w:tcW w:w="4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 refunds</w:t>
            </w:r>
          </w:p>
        </w:tc>
        <w:tc>
          <w:tcPr>
            <w:tcW w:w="22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5,887</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1,667</w:t>
            </w:r>
          </w:p>
        </w:tc>
        <w:tc>
          <w:tcPr>
            <w:tcW w:w="5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3,004</w:t>
            </w:r>
          </w:p>
        </w:tc>
      </w:tr>
    </w:tbl>
    <w:p>
      <w:pPr>
        <w:spacing w:after="0" w:line="175" w:lineRule="exact"/>
        <w:rPr>
          <w:sz w:val="20"/>
          <w:szCs w:val="20"/>
          <w:color w:val="auto"/>
        </w:rPr>
      </w:pPr>
    </w:p>
    <w:p>
      <w:pPr>
        <w:ind w:left="660" w:right="620" w:hanging="328"/>
        <w:spacing w:after="0" w:line="221" w:lineRule="auto"/>
        <w:tabs>
          <w:tab w:leader="none" w:pos="609" w:val="left"/>
        </w:tabs>
        <w:numPr>
          <w:ilvl w:val="0"/>
          <w:numId w:val="7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receipts of $5.0 million and $3.2 million related to the interest rate swaps for the years ended December 31, 2024 and 2023, respectively. See “</w:t>
      </w:r>
      <w:r>
        <w:rPr>
          <w:rFonts w:ascii="Times New Roman" w:cs="Times New Roman" w:eastAsia="Times New Roman" w:hAnsi="Times New Roman"/>
          <w:sz w:val="14"/>
          <w:szCs w:val="14"/>
          <w:u w:val="single" w:color="auto"/>
          <w:color w:val="0000FF"/>
        </w:rPr>
        <w:t>Note 2—Summary of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FF"/>
        </w:rPr>
        <w:t>Significant Accounting Policies</w:t>
      </w:r>
      <w:r>
        <w:rPr>
          <w:rFonts w:ascii="Times New Roman" w:cs="Times New Roman" w:eastAsia="Times New Roman" w:hAnsi="Times New Roman"/>
          <w:sz w:val="14"/>
          <w:szCs w:val="14"/>
          <w:color w:val="000000"/>
        </w:rPr>
        <w:t>” and “</w:t>
      </w:r>
      <w:r>
        <w:rPr>
          <w:rFonts w:ascii="Times New Roman" w:cs="Times New Roman" w:eastAsia="Times New Roman" w:hAnsi="Times New Roman"/>
          <w:sz w:val="14"/>
          <w:szCs w:val="14"/>
          <w:u w:val="single" w:color="auto"/>
          <w:color w:val="0000FF"/>
        </w:rPr>
        <w:t>Note 6—Long-term Debt</w:t>
      </w:r>
      <w:r>
        <w:rPr>
          <w:rFonts w:ascii="Times New Roman" w:cs="Times New Roman" w:eastAsia="Times New Roman" w:hAnsi="Times New Roman"/>
          <w:sz w:val="14"/>
          <w:szCs w:val="14"/>
          <w:color w:val="000000"/>
        </w:rPr>
        <w:t>” for additional information.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15—CONTINGENCIES</w:t>
      </w:r>
    </w:p>
    <w:p>
      <w:pPr>
        <w:spacing w:after="0" w:line="229"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In the ordinary course of business, the Company is subject to various lawsuits and other contingent matters. The Company establishes accruals for specific legal and other matters when it determines that the likelihood of an unfavorable outcome is probable and the loss is reasonably estimable. Management has also identified certain legal and other matters where it believes an unfavorable outcome is not probable and, therefore, no accrual is established. Although management currently believes that resolving claims against the Company, including claims where an unfavorable outcome is reasonably possible and for which the Company cannot estimate a loss or range of loss, will not have a material impact on the liquidity, results of operations or financial condition of the Company, these matters are subject to inherent uncertainties and management's view of these matters may change in the future. The Company also evaluates other contingent matters, including unrecognized tax benefits and non-income tax contingencies, to assess the likelihood of an unfavorable outcome and estimated extent of potential loss. It is possible that an unfavorable outcome of one or more of these lawsuits or other contingencies could have a material impact on the liquidity, results of operations, or financial condition of the Company. See “</w:t>
      </w:r>
      <w:r>
        <w:rPr>
          <w:rFonts w:ascii="Times New Roman" w:cs="Times New Roman" w:eastAsia="Times New Roman" w:hAnsi="Times New Roman"/>
          <w:sz w:val="18"/>
          <w:szCs w:val="18"/>
          <w:u w:val="single" w:color="auto"/>
          <w:color w:val="0000FF"/>
        </w:rPr>
        <w:t>Note 12—Income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Taxes</w:t>
      </w:r>
      <w:r>
        <w:rPr>
          <w:rFonts w:ascii="Times New Roman" w:cs="Times New Roman" w:eastAsia="Times New Roman" w:hAnsi="Times New Roman"/>
          <w:sz w:val="18"/>
          <w:szCs w:val="18"/>
          <w:color w:val="000000"/>
        </w:rPr>
        <w:t>” for information related to unrecognized tax benefits.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IAC and Angi</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Allocation of CEO Compensation and Certain Expenses</w:t>
      </w:r>
    </w:p>
    <w:p>
      <w:pPr>
        <w:spacing w:after="0" w:line="214" w:lineRule="exact"/>
        <w:rPr>
          <w:sz w:val="20"/>
          <w:szCs w:val="20"/>
          <w:color w:val="auto"/>
        </w:rPr>
      </w:pPr>
    </w:p>
    <w:p>
      <w:pPr>
        <w:ind w:right="100" w:firstLine="405"/>
        <w:spacing w:after="0" w:line="242" w:lineRule="auto"/>
        <w:rPr>
          <w:sz w:val="20"/>
          <w:szCs w:val="20"/>
          <w:color w:val="auto"/>
        </w:rPr>
      </w:pPr>
      <w:r>
        <w:rPr>
          <w:rFonts w:ascii="Times New Roman" w:cs="Times New Roman" w:eastAsia="Times New Roman" w:hAnsi="Times New Roman"/>
          <w:sz w:val="18"/>
          <w:szCs w:val="18"/>
          <w:color w:val="auto"/>
        </w:rPr>
        <w:t>Joseph Levin, CEO of IAC and Chairman of Angi, was CEO of Angi from October 10, 2022 through April 8, 2024. As a result, IAC allocated $2.4 million, $9.4 million and $2.1 million for the years ended December 31, 2024 and 2023 and for the period from October 10, 2022 to December 31, 2022, respectively, in costs to Angi (including salary, benefits, stock-based compensation and costs related to the CEO’s office). These costs were allocated from IAC based upon time spent on Angi by Mr. Levin. Management considers the allocation method to be reasonable. The allocated costs also include costs directly attributable to Angi that were initially paid for by IAC and billed by IAC to Angi.</w:t>
      </w:r>
    </w:p>
    <w:p>
      <w:pPr>
        <w:spacing w:after="0" w:line="212" w:lineRule="exact"/>
        <w:rPr>
          <w:sz w:val="20"/>
          <w:szCs w:val="20"/>
          <w:color w:val="auto"/>
        </w:rPr>
      </w:pPr>
    </w:p>
    <w:p>
      <w:pPr>
        <w:ind w:right="180" w:firstLine="405"/>
        <w:spacing w:after="0" w:line="236" w:lineRule="auto"/>
        <w:rPr>
          <w:sz w:val="20"/>
          <w:szCs w:val="20"/>
          <w:color w:val="auto"/>
        </w:rPr>
      </w:pPr>
      <w:r>
        <w:rPr>
          <w:rFonts w:ascii="Times New Roman" w:cs="Times New Roman" w:eastAsia="Times New Roman" w:hAnsi="Times New Roman"/>
          <w:sz w:val="18"/>
          <w:szCs w:val="18"/>
          <w:color w:val="auto"/>
        </w:rPr>
        <w:t>On April 8, 2024, Jeffrey W. Kip, President of Angi, was appointed to succeed Joseph Levin as CEO of Angi. Mr. Levin remains Chairman of the Angi board of directors. Further on January 13, 2025 and in connection with the Distribution, Mr. Levin will step down from his role as CEO of IAC and become an advisor to the Company on the earlier of the completion of the spin-off of Angi or May 31, 2025. Concurrent with IAC's announcement, Angi announced its appointment of Mr. Levin as Executive Chairman of Angi, effective upon his departure from IAC. See “</w:t>
      </w:r>
      <w:r>
        <w:rPr>
          <w:rFonts w:ascii="Times New Roman" w:cs="Times New Roman" w:eastAsia="Times New Roman" w:hAnsi="Times New Roman"/>
          <w:sz w:val="18"/>
          <w:szCs w:val="18"/>
          <w:u w:val="single" w:color="auto"/>
          <w:color w:val="0000FF"/>
        </w:rPr>
        <w:t>Note 10—Stock-Based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Compensation</w:t>
      </w:r>
      <w:r>
        <w:rPr>
          <w:rFonts w:ascii="Times New Roman" w:cs="Times New Roman" w:eastAsia="Times New Roman" w:hAnsi="Times New Roman"/>
          <w:sz w:val="18"/>
          <w:szCs w:val="18"/>
          <w:color w:val="000000"/>
        </w:rPr>
        <w:t>” and “</w:t>
      </w:r>
      <w:r>
        <w:rPr>
          <w:rFonts w:ascii="Times New Roman" w:cs="Times New Roman" w:eastAsia="Times New Roman" w:hAnsi="Times New Roman"/>
          <w:sz w:val="18"/>
          <w:szCs w:val="18"/>
          <w:u w:val="single" w:color="auto"/>
          <w:color w:val="0000FF"/>
        </w:rPr>
        <w:t>Note 18—Subsequent Event</w:t>
      </w:r>
      <w:r>
        <w:rPr>
          <w:rFonts w:ascii="Times New Roman" w:cs="Times New Roman" w:eastAsia="Times New Roman" w:hAnsi="Times New Roman"/>
          <w:sz w:val="18"/>
          <w:szCs w:val="18"/>
          <w:color w:val="000000"/>
        </w:rPr>
        <w:t>” for a discussion of the impact the Agreement has on the Company.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Combination and Related Agreements</w:t>
      </w:r>
    </w:p>
    <w:p>
      <w:pPr>
        <w:spacing w:after="0" w:line="192" w:lineRule="exact"/>
        <w:rPr>
          <w:sz w:val="20"/>
          <w:szCs w:val="20"/>
          <w:color w:val="auto"/>
        </w:rPr>
      </w:pPr>
    </w:p>
    <w:p>
      <w:pPr>
        <w:ind w:right="680" w:firstLine="405"/>
        <w:spacing w:after="0" w:line="266" w:lineRule="auto"/>
        <w:rPr>
          <w:sz w:val="20"/>
          <w:szCs w:val="20"/>
          <w:color w:val="auto"/>
        </w:rPr>
      </w:pPr>
      <w:r>
        <w:rPr>
          <w:rFonts w:ascii="Times New Roman" w:cs="Times New Roman" w:eastAsia="Times New Roman" w:hAnsi="Times New Roman"/>
          <w:sz w:val="18"/>
          <w:szCs w:val="18"/>
          <w:color w:val="auto"/>
        </w:rPr>
        <w:t>The Company and Angi, in connection with the Combination, entered into a contribution agreement, an investor rights agreement, a services agreement, a tax sharing agreement and an employee matters agreement, which collectively govern the relationship between IAC and Angi.</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IAC INC. AND SUBSIDIARIES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40" w:firstLine="405"/>
        <w:spacing w:after="0" w:line="250" w:lineRule="auto"/>
        <w:rPr>
          <w:sz w:val="20"/>
          <w:szCs w:val="20"/>
          <w:color w:val="auto"/>
        </w:rPr>
      </w:pPr>
      <w:r>
        <w:rPr>
          <w:rFonts w:ascii="Times New Roman" w:cs="Times New Roman" w:eastAsia="Times New Roman" w:hAnsi="Times New Roman"/>
          <w:sz w:val="18"/>
          <w:szCs w:val="18"/>
          <w:color w:val="auto"/>
        </w:rPr>
        <w:t>Following the Distribution, Angi will continue to be an independent, publicly traded company and IAC will no longer own any shares of Angi capital stock. The agreements between IAC and Angi that were put in place in connection with the Combination will survive the Distribution in accordance with their terms, with certain exceptions.</w:t>
      </w:r>
    </w:p>
    <w:p>
      <w:pPr>
        <w:spacing w:after="0" w:line="55" w:lineRule="exact"/>
        <w:rPr>
          <w:sz w:val="20"/>
          <w:szCs w:val="20"/>
          <w:color w:val="auto"/>
        </w:rPr>
      </w:pPr>
    </w:p>
    <w:p>
      <w:pPr>
        <w:ind w:right="20" w:firstLine="405"/>
        <w:spacing w:after="0"/>
        <w:rPr>
          <w:sz w:val="20"/>
          <w:szCs w:val="20"/>
          <w:color w:val="auto"/>
        </w:rPr>
      </w:pPr>
      <w:r>
        <w:rPr>
          <w:rFonts w:ascii="Times New Roman" w:cs="Times New Roman" w:eastAsia="Times New Roman" w:hAnsi="Times New Roman"/>
          <w:sz w:val="18"/>
          <w:szCs w:val="18"/>
          <w:color w:val="auto"/>
        </w:rPr>
        <w:t>The services agreement currently governs services that IAC has agreed to provide to Angi through September 29, 2025, with automatic renewal for successive one year terms, subject to IAC’s continued ownership of a majority of the total combined voting power of Angi’s voting stock and any subsequent extension(s) or truncation(s) agreed to by Angi and IAC. The scope, nature and extent of services may be changed from time to time as Angi and IAC may agree. In connection with the Distribution, Angi and IAC anticipate that they will update the schedule of services provided under the services agreement to reflect the provision of certain services requested by Angi for an agreed period of time following the Distribution, on terms consistent with the services agreement, including Angi’s continued participation in IAC’s U.S. health and welfare plans, 401(k) plan and flexible benefits plan until January 1, 2026.</w:t>
      </w:r>
    </w:p>
    <w:p>
      <w:pPr>
        <w:spacing w:after="0" w:line="77" w:lineRule="exact"/>
        <w:rPr>
          <w:sz w:val="20"/>
          <w:szCs w:val="20"/>
          <w:color w:val="auto"/>
        </w:rPr>
      </w:pPr>
    </w:p>
    <w:p>
      <w:pPr>
        <w:ind w:firstLine="405"/>
        <w:spacing w:after="0" w:line="237" w:lineRule="auto"/>
        <w:rPr>
          <w:sz w:val="20"/>
          <w:szCs w:val="20"/>
          <w:color w:val="auto"/>
        </w:rPr>
      </w:pPr>
      <w:r>
        <w:rPr>
          <w:rFonts w:ascii="Times New Roman" w:cs="Times New Roman" w:eastAsia="Times New Roman" w:hAnsi="Times New Roman"/>
          <w:sz w:val="18"/>
          <w:szCs w:val="18"/>
          <w:color w:val="auto"/>
        </w:rPr>
        <w:t>Pursuant to the employee matters agreement, in the event of a distribution of Angi capital stock to IAC stockholders in a transaction intended to qualify as tax-free for U.S. federal income tax purposes, the Compensation and Human Capital Committee of the IAC Board of Directors has the exclusive authority to determine the treatment of outstanding IAC equity awards. Such authority includes (but is not limited to) the ability to convert all or part of IAC equity awards outstanding immediately prior to any such distribution into equity awards denominated in shares of Angi Class A common stock, which Angi would be obligated to assume and which would be dilutive to Angi stockholders. Following the Distribution, solely for purposes of determining the expiration of options with respect to shares of common stock of one company held by employees of the other company, IAC and Angi employees will be deemed employed by both companies for so long as they continue to be employed by whichever of the companies employs them immediately following the Distribution. IAC expects to terminate the employee matters agreement upon the completion of the Distribution, with Angi’s continued participation in IAC’s U.S. health and welfare plans, 401(k) plan and flexible benefits plan to be covered under the services agreement as described above.</w:t>
      </w:r>
    </w:p>
    <w:p>
      <w:pPr>
        <w:spacing w:after="0" w:line="77" w:lineRule="exact"/>
        <w:rPr>
          <w:sz w:val="20"/>
          <w:szCs w:val="20"/>
          <w:color w:val="auto"/>
        </w:rPr>
      </w:pPr>
    </w:p>
    <w:p>
      <w:pPr>
        <w:ind w:right="480" w:firstLine="405"/>
        <w:spacing w:after="0" w:line="391" w:lineRule="auto"/>
        <w:rPr>
          <w:sz w:val="20"/>
          <w:szCs w:val="20"/>
          <w:color w:val="auto"/>
        </w:rPr>
      </w:pPr>
      <w:r>
        <w:rPr>
          <w:rFonts w:ascii="Times New Roman" w:cs="Times New Roman" w:eastAsia="Times New Roman" w:hAnsi="Times New Roman"/>
          <w:sz w:val="18"/>
          <w:szCs w:val="18"/>
          <w:color w:val="auto"/>
        </w:rPr>
        <w:t xml:space="preserve">In connection with the Distribution, IAC and Angi anticipate that they will terminate the sub-lease arrangements and investor rights agreement. </w:t>
      </w:r>
      <w:r>
        <w:rPr>
          <w:rFonts w:ascii="Times New Roman" w:cs="Times New Roman" w:eastAsia="Times New Roman" w:hAnsi="Times New Roman"/>
          <w:sz w:val="18"/>
          <w:szCs w:val="18"/>
          <w:b w:val="1"/>
          <w:bCs w:val="1"/>
          <w:color w:val="auto"/>
        </w:rPr>
        <w:t>IAC and Vimeo</w:t>
      </w:r>
    </w:p>
    <w:p>
      <w:pPr>
        <w:spacing w:after="0" w:line="55"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In connection with the spin-off of Vimeo from IAC, the parties entered in several agreements to govern their relationship following the completion of the transaction, certain of which remain in effect and are as follows: a separation agreement; a tax matters agreement and an employee matters agreement. Following the completion of the transaction, Vimeo and IAC entered into certain commercial agreements, including lease agreements. The Company and Vimeo are related parties because Mr. Diller is the beneficial owner of more than ten percent of the voting interests in both IAC and Vimeo.</w:t>
      </w:r>
    </w:p>
    <w:p>
      <w:pPr>
        <w:spacing w:after="0" w:line="180"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The Company charged Vimeo rent pursuant to lease agreements of $3.5 million for both the years ended December 31, 2024 and 2023, and $4.6 million for the year ended December 31, 2022. At December 31, 2024 and 2023, the Company had non-current rent receivable amounts of $0.4 million and $0.3 million, respectively, due from Vimeo pursuant to the lease agreements. These amounts are included in “Other non-current assets” in the balance sheet.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IAC and Expedia Group</w:t>
      </w:r>
    </w:p>
    <w:p>
      <w:pPr>
        <w:spacing w:after="0" w:line="229"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At December 31, 2024, the Company and Expedia Group each have a 50% ownership interest in two aircraft that may be used by both companies. In the fourth quarter of 2022, the Company and Expedia Group sold a corporate aircraft that was jointly owned for total proceeds of $19.0 million (sales price net of related costs), with each company receiving 50% of the proceeds. Members of the aircraft flight crews are employed by an entity in which the Company and Expedia Group each have a 50% ownership interest. The Company and Expedia Group have agreed to share costs relating to flight crew compensation and benefits pro-rata according to each company’s respective usage of the aircraft, for which they are separately billed by the entity described above. The Company and Expedia are related parties because Mr. Diller serves as Chairman and Senior Executive of both IAC and Expedia Group. For each of the years in the three-year period ended December 31, 2024, the payments made to this entity by the Company were not material.</w:t>
      </w:r>
    </w:p>
    <w:p>
      <w:pPr>
        <w:spacing w:after="0" w:line="189" w:lineRule="exact"/>
        <w:rPr>
          <w:sz w:val="20"/>
          <w:szCs w:val="20"/>
          <w:color w:val="auto"/>
        </w:rPr>
      </w:pPr>
    </w:p>
    <w:p>
      <w:pPr>
        <w:ind w:right="220" w:firstLine="405"/>
        <w:spacing w:after="0" w:line="282" w:lineRule="auto"/>
        <w:rPr>
          <w:sz w:val="20"/>
          <w:szCs w:val="20"/>
          <w:color w:val="auto"/>
        </w:rPr>
      </w:pPr>
      <w:r>
        <w:rPr>
          <w:rFonts w:ascii="Times New Roman" w:cs="Times New Roman" w:eastAsia="Times New Roman" w:hAnsi="Times New Roman"/>
          <w:sz w:val="18"/>
          <w:szCs w:val="18"/>
          <w:color w:val="auto"/>
        </w:rPr>
        <w:t>Expedia Group may also use certain aircraft owned 100% by a subsidiary of the Company on a cost basis. For the years ended December 31, 2024, 2023 and 2022, the payments made by Expedia Group to the Company pursuant to this arrangement were not material.</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IAC INC. AND SUBSIDIARIES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During the second quarter of 2024, the Company and Expedia Group entered into a five-year lease agreement, commencing October 2024, for Expedia Group to occupy office space in the Company's New York City headquarters building. The total payments pursuant to this lease agreement are not material.</w:t>
      </w:r>
    </w:p>
    <w:p>
      <w:pPr>
        <w:spacing w:after="0" w:line="172"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NOTE 17—DOTDASH MEREDITH RESTRUCTURING CHARGES, TRANSACTION-RELATED EXPENSES AND CHANGE-IN-CONTROL PAYMENTS</w:t>
      </w:r>
    </w:p>
    <w:p>
      <w:pPr>
        <w:spacing w:after="0" w:line="15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Restructuring Charges</w:t>
      </w:r>
    </w:p>
    <w:p>
      <w:pPr>
        <w:spacing w:after="0" w:line="229"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During 2022, Dotdash Meredith management committed to several actions to improve efficiencies and better align its cost structure following the acquisition of Meredith on December 1, 2021, which included: (i) the discontinuation of certain print publications and the shutdown of PeopleTV, for which the related expense was primarily reflected in the first quarter of 2022, (ii) a voluntary retirement program, for which the related expense was primarily reflected in the first half of 2022, (iii) the consolidation of certain leased office space, for which the related expense was reflected in the third quarter of 2022 and (iv) a reduction in force plan, which was announced in the first quarter of 2022. These actions resulted in $80.2 million of restructuring charges incurred for the year ended December 31, 2022. During 2024 and 2023, Dotdash Meredith recorded adjustments related to certain of these restructurings and no liability remains as of December 31, 2024.</w:t>
      </w:r>
    </w:p>
    <w:p>
      <w:pPr>
        <w:spacing w:after="0" w:line="189" w:lineRule="exact"/>
        <w:rPr>
          <w:sz w:val="20"/>
          <w:szCs w:val="20"/>
          <w:color w:val="auto"/>
        </w:rPr>
      </w:pPr>
    </w:p>
    <w:p>
      <w:pPr>
        <w:ind w:right="200" w:firstLine="405"/>
        <w:spacing w:after="0" w:line="282" w:lineRule="auto"/>
        <w:rPr>
          <w:sz w:val="20"/>
          <w:szCs w:val="20"/>
          <w:color w:val="auto"/>
        </w:rPr>
      </w:pPr>
      <w:r>
        <w:rPr>
          <w:rFonts w:ascii="Times New Roman" w:cs="Times New Roman" w:eastAsia="Times New Roman" w:hAnsi="Times New Roman"/>
          <w:sz w:val="18"/>
          <w:szCs w:val="18"/>
          <w:color w:val="auto"/>
        </w:rPr>
        <w:t>A summary of the charges incurred, reversals of initial costs, payments and related accruals is presented below. As of December 31, 2024, there are no expected remaining costs associated with the 2022 restructuring events.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00" w:type="dxa"/>
            <w:vAlign w:val="bottom"/>
            <w:gridSpan w:val="6"/>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gridSpan w:val="3"/>
          </w:tcPr>
          <w:p>
            <w:pPr>
              <w:spacing w:after="0"/>
              <w:rPr>
                <w:sz w:val="2"/>
                <w:szCs w:val="2"/>
                <w:color w:val="auto"/>
              </w:rPr>
            </w:pPr>
          </w:p>
        </w:tc>
        <w:tc>
          <w:tcPr>
            <w:tcW w:w="14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jc w:val="right"/>
              <w:ind w:right="36"/>
              <w:spacing w:after="0" w:line="129" w:lineRule="exact"/>
              <w:rPr>
                <w:sz w:val="20"/>
                <w:szCs w:val="20"/>
                <w:color w:val="auto"/>
              </w:rPr>
            </w:pPr>
            <w:r>
              <w:rPr>
                <w:rFonts w:ascii="Times New Roman" w:cs="Times New Roman" w:eastAsia="Times New Roman" w:hAnsi="Times New Roman"/>
                <w:sz w:val="14"/>
                <w:szCs w:val="14"/>
                <w:b w:val="1"/>
                <w:bCs w:val="1"/>
                <w:color w:val="auto"/>
              </w:rPr>
              <w:t>Accrued December</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Charges Incurred</w:t>
            </w:r>
          </w:p>
        </w:tc>
        <w:tc>
          <w:tcPr>
            <w:tcW w:w="1380" w:type="dxa"/>
            <w:vAlign w:val="bottom"/>
            <w:gridSpan w:val="3"/>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Reversal of Initial</w:t>
            </w:r>
          </w:p>
        </w:tc>
        <w:tc>
          <w:tcPr>
            <w:tcW w:w="340" w:type="dxa"/>
            <w:vAlign w:val="bottom"/>
          </w:tcPr>
          <w:p>
            <w:pPr>
              <w:spacing w:after="0"/>
              <w:rPr>
                <w:sz w:val="11"/>
                <w:szCs w:val="11"/>
                <w:color w:val="auto"/>
              </w:rPr>
            </w:pPr>
          </w:p>
        </w:tc>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1340" w:type="dxa"/>
            <w:vAlign w:val="bottom"/>
            <w:gridSpan w:val="3"/>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Accrued December</w:t>
            </w:r>
          </w:p>
        </w:tc>
        <w:tc>
          <w:tcPr>
            <w:tcW w:w="142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Cumulative Charges</w:t>
            </w:r>
          </w:p>
        </w:tc>
        <w:tc>
          <w:tcPr>
            <w:tcW w:w="0" w:type="dxa"/>
            <w:vAlign w:val="bottom"/>
          </w:tcPr>
          <w:p>
            <w:pPr>
              <w:spacing w:after="0"/>
              <w:rPr>
                <w:sz w:val="1"/>
                <w:szCs w:val="1"/>
                <w:color w:val="auto"/>
              </w:rPr>
            </w:pPr>
          </w:p>
        </w:tc>
      </w:tr>
      <w:tr>
        <w:trPr>
          <w:trHeight w:val="196"/>
        </w:trPr>
        <w:tc>
          <w:tcPr>
            <w:tcW w:w="22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31, 2023</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31, 2024</w:t>
            </w: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Incurred</w:t>
            </w:r>
          </w:p>
        </w:tc>
        <w:tc>
          <w:tcPr>
            <w:tcW w:w="0" w:type="dxa"/>
            <w:vAlign w:val="bottom"/>
          </w:tcPr>
          <w:p>
            <w:pPr>
              <w:spacing w:after="0"/>
              <w:rPr>
                <w:sz w:val="1"/>
                <w:szCs w:val="1"/>
                <w:color w:val="auto"/>
              </w:rPr>
            </w:pPr>
          </w:p>
        </w:tc>
      </w:tr>
      <w:tr>
        <w:trPr>
          <w:trHeight w:val="196"/>
        </w:trPr>
        <w:tc>
          <w:tcPr>
            <w:tcW w:w="2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Digital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38,546</w:t>
            </w:r>
          </w:p>
        </w:tc>
        <w:tc>
          <w:tcPr>
            <w:tcW w:w="0" w:type="dxa"/>
            <w:vAlign w:val="bottom"/>
          </w:tcPr>
          <w:p>
            <w:pPr>
              <w:spacing w:after="0"/>
              <w:rPr>
                <w:sz w:val="1"/>
                <w:szCs w:val="1"/>
                <w:color w:val="auto"/>
              </w:rPr>
            </w:pPr>
          </w:p>
        </w:tc>
      </w:tr>
      <w:tr>
        <w:trPr>
          <w:trHeight w:val="229"/>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Print</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33,398</w:t>
            </w:r>
          </w:p>
        </w:tc>
        <w:tc>
          <w:tcPr>
            <w:tcW w:w="0" w:type="dxa"/>
            <w:vAlign w:val="bottom"/>
          </w:tcPr>
          <w:p>
            <w:pPr>
              <w:spacing w:after="0"/>
              <w:rPr>
                <w:sz w:val="1"/>
                <w:szCs w:val="1"/>
                <w:color w:val="auto"/>
              </w:rPr>
            </w:pPr>
          </w:p>
        </w:tc>
      </w:tr>
      <w:tr>
        <w:trPr>
          <w:trHeight w:val="230"/>
        </w:trPr>
        <w:tc>
          <w:tcPr>
            <w:tcW w:w="22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(a)</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7,568</w:t>
            </w:r>
          </w:p>
        </w:tc>
        <w:tc>
          <w:tcPr>
            <w:tcW w:w="0" w:type="dxa"/>
            <w:vAlign w:val="bottom"/>
          </w:tcPr>
          <w:p>
            <w:pPr>
              <w:spacing w:after="0"/>
              <w:rPr>
                <w:sz w:val="1"/>
                <w:szCs w:val="1"/>
                <w:color w:val="auto"/>
              </w:rPr>
            </w:pPr>
          </w:p>
        </w:tc>
      </w:tr>
      <w:tr>
        <w:trPr>
          <w:trHeight w:val="223"/>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(1,689)</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79,512</w:t>
            </w:r>
          </w:p>
        </w:tc>
        <w:tc>
          <w:tcPr>
            <w:tcW w:w="0" w:type="dxa"/>
            <w:vAlign w:val="bottom"/>
          </w:tcPr>
          <w:p>
            <w:pPr>
              <w:spacing w:after="0"/>
              <w:rPr>
                <w:sz w:val="1"/>
                <w:szCs w:val="1"/>
                <w:color w:val="auto"/>
              </w:rPr>
            </w:pPr>
          </w:p>
        </w:tc>
      </w:tr>
      <w:tr>
        <w:trPr>
          <w:trHeight w:val="21"/>
        </w:trPr>
        <w:tc>
          <w:tcPr>
            <w:tcW w:w="2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13" w:lineRule="exact"/>
        <w:rPr>
          <w:sz w:val="20"/>
          <w:szCs w:val="20"/>
          <w:color w:val="auto"/>
        </w:rPr>
      </w:pPr>
    </w:p>
    <w:p>
      <w:pPr>
        <w:ind w:left="580" w:hanging="248"/>
        <w:spacing w:after="0"/>
        <w:tabs>
          <w:tab w:leader="none" w:pos="580" w:val="left"/>
        </w:tabs>
        <w:numPr>
          <w:ilvl w:val="0"/>
          <w:numId w:val="7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Other comprises unallocated corporate expenses, which are corporate overhead expenses not attributable to the Digital or Print segments.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320" w:type="dxa"/>
            <w:vAlign w:val="bottom"/>
            <w:gridSpan w:val="6"/>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Accrued December</w:t>
            </w: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Accrued December 31,</w:t>
            </w:r>
          </w:p>
        </w:tc>
        <w:tc>
          <w:tcPr>
            <w:tcW w:w="0" w:type="dxa"/>
            <w:vAlign w:val="bottom"/>
          </w:tcPr>
          <w:p>
            <w:pPr>
              <w:spacing w:after="0"/>
              <w:rPr>
                <w:sz w:val="1"/>
                <w:szCs w:val="1"/>
                <w:color w:val="auto"/>
              </w:rPr>
            </w:pPr>
          </w:p>
        </w:tc>
      </w:tr>
      <w:tr>
        <w:trPr>
          <w:trHeight w:val="131"/>
        </w:trPr>
        <w:tc>
          <w:tcPr>
            <w:tcW w:w="3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Charges Incurred</w:t>
            </w:r>
          </w:p>
        </w:tc>
        <w:tc>
          <w:tcPr>
            <w:tcW w:w="140" w:type="dxa"/>
            <w:vAlign w:val="bottom"/>
          </w:tcPr>
          <w:p>
            <w:pPr>
              <w:spacing w:after="0"/>
              <w:rPr>
                <w:sz w:val="11"/>
                <w:szCs w:val="11"/>
                <w:color w:val="auto"/>
              </w:rPr>
            </w:pPr>
          </w:p>
        </w:tc>
        <w:tc>
          <w:tcPr>
            <w:tcW w:w="138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Reversal of Initial</w:t>
            </w:r>
          </w:p>
        </w:tc>
        <w:tc>
          <w:tcPr>
            <w:tcW w:w="420" w:type="dxa"/>
            <w:vAlign w:val="bottom"/>
          </w:tcPr>
          <w:p>
            <w:pPr>
              <w:spacing w:after="0"/>
              <w:rPr>
                <w:sz w:val="11"/>
                <w:szCs w:val="11"/>
                <w:color w:val="auto"/>
              </w:rPr>
            </w:pPr>
          </w:p>
        </w:tc>
        <w:tc>
          <w:tcPr>
            <w:tcW w:w="1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14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37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31, 2022</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4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5"/>
        </w:trPr>
        <w:tc>
          <w:tcPr>
            <w:tcW w:w="3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Digital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Print</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(a)</w:t>
            </w: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2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27,394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(4,199)</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(24,979)</w:t>
            </w:r>
          </w:p>
        </w:tc>
        <w:tc>
          <w:tcPr>
            <w:tcW w:w="100" w:type="dxa"/>
            <w:vAlign w:val="bottom"/>
          </w:tcPr>
          <w:p>
            <w:pPr>
              <w:spacing w:after="0"/>
              <w:rPr>
                <w:sz w:val="19"/>
                <w:szCs w:val="19"/>
                <w:color w:val="auto"/>
              </w:rPr>
            </w:pP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1,890</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IAC INC. AND SUBSIDIARIES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costs are allocated as follows in the statement of operations: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
        </w:trPr>
        <w:tc>
          <w:tcPr>
            <w:tcW w:w="60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0"/>
        </w:trPr>
        <w:tc>
          <w:tcPr>
            <w:tcW w:w="6060" w:type="dxa"/>
            <w:vAlign w:val="bottom"/>
          </w:tcPr>
          <w:p>
            <w:pPr>
              <w:spacing w:after="0"/>
              <w:rPr>
                <w:sz w:val="16"/>
                <w:szCs w:val="16"/>
                <w:color w:val="auto"/>
              </w:rPr>
            </w:pPr>
          </w:p>
        </w:tc>
        <w:tc>
          <w:tcPr>
            <w:tcW w:w="11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60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36"/>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12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24,527</w:t>
            </w:r>
          </w:p>
        </w:tc>
      </w:tr>
      <w:tr>
        <w:trPr>
          <w:trHeight w:val="229"/>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marketing expense</w:t>
            </w:r>
          </w:p>
        </w:tc>
        <w:tc>
          <w:tcPr>
            <w:tcW w:w="1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17,174</w:t>
            </w:r>
          </w:p>
        </w:tc>
      </w:tr>
      <w:tr>
        <w:trPr>
          <w:trHeight w:val="229"/>
        </w:trPr>
        <w:tc>
          <w:tcPr>
            <w:tcW w:w="60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General and administrative expense</w:t>
            </w:r>
            <w:r>
              <w:rPr>
                <w:rFonts w:ascii="Times New Roman" w:cs="Times New Roman" w:eastAsia="Times New Roman" w:hAnsi="Times New Roman"/>
                <w:sz w:val="23"/>
                <w:szCs w:val="23"/>
                <w:color w:val="auto"/>
                <w:vertAlign w:val="superscript"/>
              </w:rPr>
              <w:t>(b)</w:t>
            </w:r>
          </w:p>
        </w:tc>
        <w:tc>
          <w:tcPr>
            <w:tcW w:w="1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28,096</w:t>
            </w:r>
          </w:p>
        </w:tc>
      </w:tr>
      <w:tr>
        <w:trPr>
          <w:trHeight w:val="230"/>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development expense</w:t>
            </w:r>
          </w:p>
        </w:tc>
        <w:tc>
          <w:tcPr>
            <w:tcW w:w="1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3,435</w:t>
            </w:r>
          </w:p>
        </w:tc>
      </w:tr>
      <w:tr>
        <w:trPr>
          <w:trHeight w:val="229"/>
        </w:trPr>
        <w:tc>
          <w:tcPr>
            <w:tcW w:w="60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Depreciation</w:t>
            </w:r>
            <w:r>
              <w:rPr>
                <w:rFonts w:ascii="Times New Roman" w:cs="Times New Roman" w:eastAsia="Times New Roman" w:hAnsi="Times New Roman"/>
                <w:sz w:val="23"/>
                <w:szCs w:val="23"/>
                <w:color w:val="auto"/>
                <w:vertAlign w:val="superscript"/>
              </w:rPr>
              <w:t>(c)</w:t>
            </w:r>
          </w:p>
        </w:tc>
        <w:tc>
          <w:tcPr>
            <w:tcW w:w="11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7,006</w:t>
            </w:r>
          </w:p>
        </w:tc>
      </w:tr>
      <w:tr>
        <w:trPr>
          <w:trHeight w:val="223"/>
        </w:trPr>
        <w:tc>
          <w:tcPr>
            <w:tcW w:w="6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tcBorders>
              <w:top w:val="single" w:sz="8" w:color="auto"/>
              <w:bottom w:val="single" w:sz="8" w:color="auto"/>
            </w:tcBorders>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80,238</w:t>
            </w:r>
          </w:p>
        </w:tc>
      </w:tr>
      <w:tr>
        <w:trPr>
          <w:trHeight w:val="20"/>
        </w:trPr>
        <w:tc>
          <w:tcPr>
            <w:tcW w:w="60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221" w:lineRule="exact"/>
        <w:rPr>
          <w:sz w:val="20"/>
          <w:szCs w:val="20"/>
          <w:color w:val="auto"/>
        </w:rPr>
      </w:pPr>
    </w:p>
    <w:p>
      <w:pPr>
        <w:ind w:left="660" w:right="480" w:hanging="328"/>
        <w:spacing w:after="0" w:line="221" w:lineRule="auto"/>
        <w:tabs>
          <w:tab w:leader="none" w:pos="589" w:val="left"/>
        </w:tabs>
        <w:numPr>
          <w:ilvl w:val="0"/>
          <w:numId w:val="7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impairment charge of $14.3 million of an ROU asset for the year ended December 31, 2022. See “</w:t>
      </w:r>
      <w:r>
        <w:rPr>
          <w:rFonts w:ascii="Times New Roman" w:cs="Times New Roman" w:eastAsia="Times New Roman" w:hAnsi="Times New Roman"/>
          <w:sz w:val="14"/>
          <w:szCs w:val="14"/>
          <w:u w:val="single" w:color="auto"/>
          <w:color w:val="0000FF"/>
        </w:rPr>
        <w:t>Note 2—Summary of Significant Accounting Policies</w:t>
      </w:r>
      <w:r>
        <w:rPr>
          <w:rFonts w:ascii="Times New Roman" w:cs="Times New Roman" w:eastAsia="Times New Roman" w:hAnsi="Times New Roman"/>
          <w:sz w:val="14"/>
          <w:szCs w:val="14"/>
          <w:color w:val="auto"/>
        </w:rPr>
        <w:t>” for additional information on the impairment charges.</w:t>
      </w:r>
    </w:p>
    <w:p>
      <w:pPr>
        <w:spacing w:after="0" w:line="217" w:lineRule="exact"/>
        <w:rPr>
          <w:rFonts w:ascii="Times New Roman" w:cs="Times New Roman" w:eastAsia="Times New Roman" w:hAnsi="Times New Roman"/>
          <w:sz w:val="19"/>
          <w:szCs w:val="19"/>
          <w:color w:val="auto"/>
          <w:vertAlign w:val="superscript"/>
        </w:rPr>
      </w:pPr>
    </w:p>
    <w:p>
      <w:pPr>
        <w:ind w:left="660" w:right="360" w:hanging="328"/>
        <w:spacing w:after="0" w:line="212" w:lineRule="auto"/>
        <w:tabs>
          <w:tab w:leader="none" w:pos="583" w:val="left"/>
        </w:tabs>
        <w:numPr>
          <w:ilvl w:val="0"/>
          <w:numId w:val="7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impairment charge of $7.0 million of leasehold improvements and furniture and equipment for the year ended December 31, 2022. See “</w:t>
      </w:r>
      <w:r>
        <w:rPr>
          <w:rFonts w:ascii="Times New Roman" w:cs="Times New Roman" w:eastAsia="Times New Roman" w:hAnsi="Times New Roman"/>
          <w:sz w:val="14"/>
          <w:szCs w:val="14"/>
          <w:u w:val="single" w:color="auto"/>
          <w:color w:val="0000FF"/>
        </w:rPr>
        <w:t>Note 2—Summary of Significant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FF"/>
        </w:rPr>
        <w:t>Accounting Policies</w:t>
      </w:r>
      <w:r>
        <w:rPr>
          <w:rFonts w:ascii="Times New Roman" w:cs="Times New Roman" w:eastAsia="Times New Roman" w:hAnsi="Times New Roman"/>
          <w:sz w:val="14"/>
          <w:szCs w:val="14"/>
          <w:color w:val="000000"/>
          <w:highlight w:val="white"/>
        </w:rPr>
        <w:t>” for additional information on the impairment charges.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Transaction-Related Expenses</w:t>
      </w:r>
    </w:p>
    <w:p>
      <w:pPr>
        <w:spacing w:after="0" w:line="229" w:lineRule="exact"/>
        <w:rPr>
          <w:sz w:val="20"/>
          <w:szCs w:val="20"/>
          <w:color w:val="auto"/>
        </w:rPr>
      </w:pPr>
    </w:p>
    <w:p>
      <w:pPr>
        <w:ind w:right="360" w:firstLine="405"/>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2022, Dotdash Meredith incurred $7.1 million of transaction-related expenses related to the 2021 acquisition of Meredith, other than costs related to change-in-control payments.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Change-in-Control Payments</w:t>
      </w:r>
    </w:p>
    <w:p>
      <w:pPr>
        <w:spacing w:after="0" w:line="229"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During 2022, Dotdash Meredith made the final $87.4 million in change-in-control payments, which were triggered by the acquisition and the terms of certain former executives’ contracts. These payments included amounts accrued in December 2021, as well as amounts previously accrued that became payable following the change-in-control.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18—SUBSEQUENT EVENT</w:t>
      </w:r>
    </w:p>
    <w:p>
      <w:pPr>
        <w:spacing w:after="0" w:line="229"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 xml:space="preserve">As described in the IAC Restricted Common Stock section of </w:t>
      </w:r>
      <w:r>
        <w:rPr>
          <w:rFonts w:ascii="Times New Roman" w:cs="Times New Roman" w:eastAsia="Times New Roman" w:hAnsi="Times New Roman"/>
          <w:sz w:val="18"/>
          <w:szCs w:val="18"/>
          <w:u w:val="single" w:color="auto"/>
          <w:color w:val="0000FF"/>
        </w:rPr>
        <w:t>Note 10—Stock-Based Compensation</w:t>
      </w:r>
      <w:r>
        <w:rPr>
          <w:rFonts w:ascii="Times New Roman" w:cs="Times New Roman" w:eastAsia="Times New Roman" w:hAnsi="Times New Roman"/>
          <w:sz w:val="18"/>
          <w:szCs w:val="18"/>
          <w:color w:val="auto"/>
        </w:rPr>
        <w:t>, on January 13, 2025, the Company and Mr. Levin entered the Agreement pursuant to which the Employment Agreement and the Amended and Restated RSA Agreement were terminated, except as provided in Section 6 of the RSA Agreement. See "</w:t>
      </w:r>
      <w:r>
        <w:rPr>
          <w:rFonts w:ascii="Times New Roman" w:cs="Times New Roman" w:eastAsia="Times New Roman" w:hAnsi="Times New Roman"/>
          <w:sz w:val="18"/>
          <w:szCs w:val="18"/>
          <w:u w:val="single" w:color="auto"/>
          <w:color w:val="0000FF"/>
        </w:rPr>
        <w:t>Note 10—Stock-Based Compensation</w:t>
      </w:r>
      <w:r>
        <w:rPr>
          <w:rFonts w:ascii="Times New Roman" w:cs="Times New Roman" w:eastAsia="Times New Roman" w:hAnsi="Times New Roman"/>
          <w:sz w:val="18"/>
          <w:szCs w:val="18"/>
          <w:color w:val="auto"/>
        </w:rPr>
        <w:t>" for a discussion of the impact the Agreement has on stock-based compensation expense.</w:t>
      </w:r>
    </w:p>
    <w:p>
      <w:pPr>
        <w:spacing w:after="0" w:line="180"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Pursuant to the Agreement, Mr. Levin will continue to serve as IAC’s CEO until the earlier of the completion of the spin-off of Angi or May 31, 2025. Mr. Levin received additional separation benefits pursuant to the Agreement totaling $18.0 million payable over six years for advisory services. The Company will record an estimated $14.5 million of expense, which reflects a discount of $3.5 million given the amount is payable over six years. The cash payable to Mr. Levin, will be expensed over the period from January 13, 2025 to the date of the completion of the Distribution or May 31, 2025, whichever is earlier.</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9" w:name="page160"/>
    <w:bookmarkEnd w:id="159"/>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Conclusion Regarding the Effectiveness of the Company's Disclosure Controls and Procedures</w:t>
      </w:r>
    </w:p>
    <w:p>
      <w:pPr>
        <w:spacing w:after="0" w:line="121"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The Company monitors and evaluates on an ongoing basis its disclosure controls and procedures and internal control over financial reporting in order to improve their overall effectiveness. In the course of these evaluations, the Company modifies and refines its internal processes as conditions warrant.</w:t>
      </w:r>
    </w:p>
    <w:p>
      <w:pPr>
        <w:spacing w:after="0" w:line="54"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As required by Rule 13a-15(b) of the Securities Exchange Act of 1934, as amended (the "Exchange Act"), management, including our Chairman and Senior Executive, Chief Executive Officer ("CEO") and Chief Financial Officer ("CFO"), conducted an evaluation, as of the end of the period covered by this annual report, of the effectiveness of the Company's disclosure controls and procedures as defined in Exchange Act Rule 13a-15(e). Based on this evaluation, our Chairman and Senior Executive, CEO and CFO concluded that the Company's disclosure controls and procedures were effective as of the end of the period covered by this annual report.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ind w:right="160" w:firstLine="405"/>
        <w:spacing w:after="0" w:line="256" w:lineRule="auto"/>
        <w:rPr>
          <w:sz w:val="20"/>
          <w:szCs w:val="20"/>
          <w:color w:val="auto"/>
        </w:rPr>
      </w:pPr>
      <w:r>
        <w:rPr>
          <w:rFonts w:ascii="Times New Roman" w:cs="Times New Roman" w:eastAsia="Times New Roman" w:hAnsi="Times New Roman"/>
          <w:sz w:val="18"/>
          <w:szCs w:val="18"/>
          <w:color w:val="auto"/>
        </w:rPr>
        <w:t>Management of the Company is responsible for establishing and maintaining adequate internal control over financial reporting (as defined in Rule 13a-15(f) under the Exchange Act) for the Company. The Company's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Management assessed the effectiveness of the Company's internal control over financial reporting as of December 31, 2024. In making this assessment, management used the criteria for effective internal control over financial reporting described in "Internal Control—Integrated Framework" issued by the Committee of Sponsoring Organizations of the Treadway Commission in 2013.</w:t>
      </w:r>
    </w:p>
    <w:p>
      <w:pPr>
        <w:spacing w:after="0" w:line="79" w:lineRule="exact"/>
        <w:rPr>
          <w:sz w:val="20"/>
          <w:szCs w:val="20"/>
          <w:color w:val="auto"/>
        </w:rPr>
      </w:pPr>
    </w:p>
    <w:p>
      <w:pPr>
        <w:ind w:right="440" w:firstLine="405"/>
        <w:spacing w:after="0" w:line="258" w:lineRule="auto"/>
        <w:rPr>
          <w:sz w:val="20"/>
          <w:szCs w:val="20"/>
          <w:color w:val="auto"/>
        </w:rPr>
      </w:pPr>
      <w:r>
        <w:rPr>
          <w:rFonts w:ascii="Times New Roman" w:cs="Times New Roman" w:eastAsia="Times New Roman" w:hAnsi="Times New Roman"/>
          <w:sz w:val="18"/>
          <w:szCs w:val="18"/>
          <w:color w:val="auto"/>
        </w:rPr>
        <w:t>Based on this assessment, management has determined that, as of December 31, 2024, the Company's internal control over financial reporting is effective. The effectiveness of our internal control over financial reporting as of December 31, 2024 has been audited by Ernst &amp; Young LLP, an independent registered public accounting firm, as stated in their attestation report, included herein.</w:t>
      </w:r>
    </w:p>
    <w:p>
      <w:pPr>
        <w:spacing w:after="0" w:line="61"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08"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The Company monitors and evaluates on an ongoing basis its internal control over financial reporting in order to improve its overall effectiveness. In the course of these evaluations, the Company modifies and refines its internal processes as conditions warrant.</w:t>
      </w:r>
    </w:p>
    <w:p>
      <w:pPr>
        <w:spacing w:after="0" w:line="189" w:lineRule="exact"/>
        <w:rPr>
          <w:sz w:val="20"/>
          <w:szCs w:val="20"/>
          <w:color w:val="auto"/>
        </w:rPr>
      </w:pPr>
    </w:p>
    <w:p>
      <w:pPr>
        <w:ind w:right="420" w:firstLine="405"/>
        <w:spacing w:after="0" w:line="250" w:lineRule="auto"/>
        <w:rPr>
          <w:sz w:val="20"/>
          <w:szCs w:val="20"/>
          <w:color w:val="auto"/>
        </w:rPr>
      </w:pPr>
      <w:r>
        <w:rPr>
          <w:rFonts w:ascii="Times New Roman" w:cs="Times New Roman" w:eastAsia="Times New Roman" w:hAnsi="Times New Roman"/>
          <w:sz w:val="18"/>
          <w:szCs w:val="18"/>
          <w:color w:val="auto"/>
        </w:rPr>
        <w:t>During the quarter ended December 31, 2024, there have been no changes in our internal controls over financial reporting that have materially affected, or are reasonably likely to materially affect, the Company's internal controls over financial reporting. See "</w:t>
      </w:r>
      <w:r>
        <w:rPr>
          <w:rFonts w:ascii="Times New Roman" w:cs="Times New Roman" w:eastAsia="Times New Roman" w:hAnsi="Times New Roman"/>
          <w:sz w:val="18"/>
          <w:szCs w:val="18"/>
          <w:u w:val="single" w:color="auto"/>
          <w:color w:val="0000FF"/>
        </w:rPr>
        <w:t>Item 8—Financial Statements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Supplementary Data</w:t>
      </w:r>
      <w:r>
        <w:rPr>
          <w:rFonts w:ascii="Times New Roman" w:cs="Times New Roman" w:eastAsia="Times New Roman" w:hAnsi="Times New Roman"/>
          <w:sz w:val="18"/>
          <w:szCs w:val="18"/>
          <w:color w:val="000000"/>
        </w:rPr>
        <w:t>" and "</w:t>
      </w:r>
      <w:r>
        <w:rPr>
          <w:rFonts w:ascii="Times New Roman" w:cs="Times New Roman" w:eastAsia="Times New Roman" w:hAnsi="Times New Roman"/>
          <w:sz w:val="18"/>
          <w:szCs w:val="18"/>
          <w:u w:val="single" w:color="auto"/>
          <w:color w:val="0000FF"/>
        </w:rPr>
        <w:t>Report of Independent Registered Public Accounting Firm</w:t>
      </w:r>
      <w:r>
        <w:rPr>
          <w:rFonts w:ascii="Times New Roman" w:cs="Times New Roman" w:eastAsia="Times New Roman" w:hAnsi="Times New Roman"/>
          <w:sz w:val="18"/>
          <w:szCs w:val="18"/>
          <w:color w:val="000000"/>
        </w:rPr>
        <w:t>," which report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160" w:name="page161"/>
    <w:bookmarkEnd w:id="160"/>
    <w:p>
      <w:pPr>
        <w:ind w:right="3360" w:firstLine="3364"/>
        <w:spacing w:after="0" w:line="380"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Shareholders and the Board of Directors of IAC Inc.</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5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have audited IAC Inc. and subsidiaries’ internal control over financial reporting as of December 31, 2024, based on criteria established in Internal Control—Integrated Framework issued by the Committee of Sponsoring Organizations of the Treadway Commission (2013 framework) (the COSO criteria). In our opinion, IAC Inc. and subsidiaries (the Company) maintained, in all material respects, effective internal control over financial reporting as of December 31, 2024, based on the COSO criteria.</w:t>
      </w:r>
    </w:p>
    <w:p>
      <w:pPr>
        <w:spacing w:after="0" w:line="18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 of the Company as of December 31, 2024 and 2023, the related consolidated statements of operations, comprehensive operations, shareholders’ equity and cash flows for each of the three years in the period ended December 31, 2024, and the related notes and financial statement schedule listed in the Index at Item 15(a)(2) and our report dated February 28, 2025 expressed an unqualified opinion thereon.</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5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6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56"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2025</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61" w:name="page162"/>
    <w:bookmarkEnd w:id="161"/>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9B.</w:t>
        <w:tab/>
        <w:t>Other Information</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Rule 10b5-1 Trading Plans</w:t>
      </w:r>
    </w:p>
    <w:p>
      <w:pPr>
        <w:spacing w:after="0" w:line="121"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During the year ended December 31, 2024, none of the Company’s directors or officers adopted or terminated a Rule 10b5-1 trading plan or non-Rule 10b5-1 trading arrangement (as such terms are defined in Item 408(a) of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30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995" w:right="779" w:bottom="1440" w:gutter="0" w:footer="0" w:header="0"/>
        </w:sectPr>
      </w:pPr>
    </w:p>
    <w:bookmarkStart w:id="162" w:name="page163"/>
    <w:bookmarkEnd w:id="16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21"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The information required by Part III (Items 10, 11, 12, 13 and 14) has been incorporated herein by reference to IAC's definitive proxy statement to be used in connection with IAC’s 2025 Annual Meeting of Stockholders (the "2025 Proxy Statement"), as set forth below in accordance with General Instruction G(3) of Form 10-K.</w:t>
      </w:r>
    </w:p>
    <w:p>
      <w:pPr>
        <w:spacing w:after="0" w:line="64"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10.</w:t>
        <w:tab/>
        <w:t>Directors, Executive Officers and Corporate Governance</w:t>
      </w:r>
    </w:p>
    <w:p>
      <w:pPr>
        <w:spacing w:after="0" w:line="121" w:lineRule="exact"/>
        <w:rPr>
          <w:sz w:val="20"/>
          <w:szCs w:val="20"/>
          <w:color w:val="auto"/>
        </w:rPr>
      </w:pPr>
    </w:p>
    <w:p>
      <w:pPr>
        <w:ind w:right="420" w:firstLine="445"/>
        <w:spacing w:after="0" w:line="261" w:lineRule="auto"/>
        <w:rPr>
          <w:sz w:val="20"/>
          <w:szCs w:val="20"/>
          <w:color w:val="auto"/>
        </w:rPr>
      </w:pPr>
      <w:r>
        <w:rPr>
          <w:rFonts w:ascii="Times New Roman" w:cs="Times New Roman" w:eastAsia="Times New Roman" w:hAnsi="Times New Roman"/>
          <w:sz w:val="18"/>
          <w:szCs w:val="18"/>
          <w:color w:val="auto"/>
        </w:rPr>
        <w:t>The information required by Items 401 and 405 of Regulation S-K relating to directors and executive officers of IAC and their compliance with Section 16(a) of the Exchange Act is set forth in the sections entitled "Information Concerning Director Nominees," "Information Concerning IAC Executive Officers Who Are Not Directors" and "Delinquent 16(a) Reports," respectively, in the 2025 Proxy Statement and is incorporated herein by reference.</w:t>
      </w:r>
    </w:p>
    <w:p>
      <w:pPr>
        <w:spacing w:after="0" w:line="72"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The information required by Item 406 of Regulation S-K relating to IAC's Code of Business Conduct and Ethics is set forth under the caption "</w:t>
      </w:r>
      <w:r>
        <w:rPr>
          <w:rFonts w:ascii="Times New Roman" w:cs="Times New Roman" w:eastAsia="Times New Roman" w:hAnsi="Times New Roman"/>
          <w:sz w:val="18"/>
          <w:szCs w:val="18"/>
          <w:u w:val="single" w:color="auto"/>
          <w:color w:val="0000FF"/>
        </w:rPr>
        <w:t>Part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—Item 1—Business—Description of IAC Businesses—Additional Information—Code of Business Conduct and Ethics</w:t>
      </w:r>
      <w:r>
        <w:rPr>
          <w:rFonts w:ascii="Times New Roman" w:cs="Times New Roman" w:eastAsia="Times New Roman" w:hAnsi="Times New Roman"/>
          <w:sz w:val="18"/>
          <w:szCs w:val="18"/>
          <w:color w:val="000000"/>
        </w:rPr>
        <w:t>" of this annual report and is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incorporated herein by reference. The information required by subsections (c)(3), (d)(4) and (d)(5) of Item 407 of Regulation S-K is set forth in the sections entitled "Corporate Governance" and "The Board and Board Committees" in the 2025 Proxy Statement and is incorporated herein by reference.</w:t>
      </w:r>
    </w:p>
    <w:p>
      <w:pPr>
        <w:spacing w:after="0" w:line="72" w:lineRule="exact"/>
        <w:rPr>
          <w:sz w:val="20"/>
          <w:szCs w:val="20"/>
          <w:color w:val="auto"/>
        </w:rPr>
      </w:pPr>
    </w:p>
    <w:p>
      <w:pPr>
        <w:ind w:right="160" w:firstLine="445"/>
        <w:spacing w:after="0" w:line="258" w:lineRule="auto"/>
        <w:rPr>
          <w:sz w:val="20"/>
          <w:szCs w:val="20"/>
          <w:color w:val="auto"/>
        </w:rPr>
      </w:pPr>
      <w:r>
        <w:rPr>
          <w:rFonts w:ascii="Times New Roman" w:cs="Times New Roman" w:eastAsia="Times New Roman" w:hAnsi="Times New Roman"/>
          <w:sz w:val="18"/>
          <w:szCs w:val="18"/>
          <w:color w:val="auto"/>
        </w:rPr>
        <w:t>We have adopted a securities trading policy governing the purchase, sale and/or other transfer of (and certain other transactions involving) IAC securities by: (i) our directors, officers and employees (and certain persons and entities affiliated with such persons) and (ii) any other persons (such as contractors or consultants) who have access to material non-public information concerning IAC and its businesses from time to time that we believe is reasonably designed to promote compliance with insider trading laws, rules and regulations and NASDAQ listing standards. A copy of this policy is filed as Exhibit 19.1 to this annual report.</w:t>
      </w:r>
    </w:p>
    <w:p>
      <w:pPr>
        <w:spacing w:after="0" w:line="71"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11.</w:t>
        <w:tab/>
        <w:t>Executive Compensation</w:t>
      </w:r>
    </w:p>
    <w:p>
      <w:pPr>
        <w:spacing w:after="0" w:line="121" w:lineRule="exact"/>
        <w:rPr>
          <w:sz w:val="20"/>
          <w:szCs w:val="20"/>
          <w:color w:val="auto"/>
        </w:rPr>
      </w:pPr>
    </w:p>
    <w:p>
      <w:pPr>
        <w:jc w:val="both"/>
        <w:ind w:right="100" w:firstLine="445"/>
        <w:spacing w:after="0" w:line="255" w:lineRule="auto"/>
        <w:rPr>
          <w:sz w:val="20"/>
          <w:szCs w:val="20"/>
          <w:color w:val="auto"/>
        </w:rPr>
      </w:pPr>
      <w:r>
        <w:rPr>
          <w:rFonts w:ascii="Times New Roman" w:cs="Times New Roman" w:eastAsia="Times New Roman" w:hAnsi="Times New Roman"/>
          <w:sz w:val="18"/>
          <w:szCs w:val="18"/>
          <w:color w:val="auto"/>
        </w:rPr>
        <w:t xml:space="preserve">The information required by Item 402 of Regulation S-K relating to executive and director compensation and pay ratio disclosure is set forth in the sections entitled "Executive Compensation," "Director Compensation" and "Pay Ratio Disclosure" in the 2025 Proxy Statement and is incorporated herein by reference. The information required by subsections (e)(4) and (e)(5) of Item 407 of Regulation S-K relating to certain compensation committee matters is set forth in the sections entitled "The Board and Board Committees," "Compensation Committee Report" and "Compensation Committee Interlocks and Insider Participation" in the 2025 Proxy Statement and is incorporated herein by reference;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information set forth in the section entitled "Compensation Committee Report" shall be deemed furnished herein and shall not be deemed incorporated by reference into any filing under the Securities Act of 1933, as amended, or the Securities Exchange Act of 1934, as amended.</w:t>
      </w:r>
    </w:p>
    <w:p>
      <w:pPr>
        <w:spacing w:after="0" w:line="7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 and Related Stockholder Matters</w:t>
      </w:r>
    </w:p>
    <w:p>
      <w:pPr>
        <w:spacing w:after="0" w:line="121" w:lineRule="exact"/>
        <w:rPr>
          <w:sz w:val="20"/>
          <w:szCs w:val="20"/>
          <w:color w:val="auto"/>
        </w:rPr>
      </w:pPr>
    </w:p>
    <w:p>
      <w:pPr>
        <w:jc w:val="both"/>
        <w:ind w:right="460" w:firstLine="445"/>
        <w:spacing w:after="0" w:line="261" w:lineRule="auto"/>
        <w:rPr>
          <w:sz w:val="20"/>
          <w:szCs w:val="20"/>
          <w:color w:val="auto"/>
        </w:rPr>
      </w:pPr>
      <w:r>
        <w:rPr>
          <w:rFonts w:ascii="Times New Roman" w:cs="Times New Roman" w:eastAsia="Times New Roman" w:hAnsi="Times New Roman"/>
          <w:sz w:val="18"/>
          <w:szCs w:val="18"/>
          <w:color w:val="auto"/>
        </w:rPr>
        <w:t>The information regarding ownership of IAC common stock and Class B common stock required by Item 403 of Regulation S-K and securities authorized for issuance under IAC's various equity compensation plans required by Item 201(d) of Regulation S-K is set forth in the sections entitled "Security Ownership of Certain Beneficial Owners and Management" and "Equity Compensation Plan Information," respectively, in the 2025 Proxy Statement and is incorporated herein by reference.</w:t>
      </w:r>
    </w:p>
    <w:p>
      <w:pPr>
        <w:spacing w:after="0" w:line="6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21" w:lineRule="exact"/>
        <w:rPr>
          <w:sz w:val="20"/>
          <w:szCs w:val="20"/>
          <w:color w:val="auto"/>
        </w:rPr>
      </w:pPr>
    </w:p>
    <w:p>
      <w:pPr>
        <w:ind w:right="420" w:firstLine="445"/>
        <w:spacing w:after="0" w:line="266" w:lineRule="auto"/>
        <w:rPr>
          <w:sz w:val="20"/>
          <w:szCs w:val="20"/>
          <w:color w:val="auto"/>
        </w:rPr>
      </w:pPr>
      <w:r>
        <w:rPr>
          <w:rFonts w:ascii="Times New Roman" w:cs="Times New Roman" w:eastAsia="Times New Roman" w:hAnsi="Times New Roman"/>
          <w:sz w:val="18"/>
          <w:szCs w:val="18"/>
          <w:color w:val="auto"/>
        </w:rPr>
        <w:t>Information regarding certain relationships and related transactions involving IAC required by Item 404 of Regulation S-K and director independence determinations required by Item 407(a) of Regulation S-K is set forth in the sections entitled "Certain Relationships and Related Person Transactions" and "Corporate Governance," respectively, in the 2025 Proxy Statement and is incorporated herein by reference.</w:t>
      </w:r>
    </w:p>
    <w:p>
      <w:pPr>
        <w:spacing w:after="0" w:line="64"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121" w:lineRule="exact"/>
        <w:rPr>
          <w:sz w:val="20"/>
          <w:szCs w:val="20"/>
          <w:color w:val="auto"/>
        </w:rPr>
      </w:pPr>
    </w:p>
    <w:p>
      <w:pPr>
        <w:ind w:right="60" w:firstLine="445"/>
        <w:spacing w:after="0" w:line="261" w:lineRule="auto"/>
        <w:rPr>
          <w:sz w:val="20"/>
          <w:szCs w:val="20"/>
          <w:color w:val="auto"/>
        </w:rPr>
      </w:pPr>
      <w:r>
        <w:rPr>
          <w:rFonts w:ascii="Times New Roman" w:cs="Times New Roman" w:eastAsia="Times New Roman" w:hAnsi="Times New Roman"/>
          <w:sz w:val="18"/>
          <w:szCs w:val="18"/>
          <w:color w:val="auto"/>
        </w:rPr>
        <w:t>Information required by Item 9(e) of Schedule 14A regarding the fees and services of IAC's independent registered public accounting firm and the pre-approval policies and procedures applicable to services provided to IAC by such firm is set forth in the sections entitled "Fees Paid to Our Independent Registered Public Accounting Firm" and "Audit and Non-Audit Services Pre-Approval Policy," respectively, in the 2025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5" w:right="359" w:bottom="1440" w:gutter="0" w:footer="0" w:header="0"/>
        </w:sectPr>
      </w:pPr>
    </w:p>
    <w:bookmarkStart w:id="163" w:name="page164"/>
    <w:bookmarkEnd w:id="163"/>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1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List of documents filed as part of this Report:</w:t>
      </w:r>
    </w:p>
    <w:p>
      <w:pPr>
        <w:spacing w:after="0" w:line="200" w:lineRule="exact"/>
        <w:rPr>
          <w:sz w:val="20"/>
          <w:szCs w:val="20"/>
          <w:color w:val="auto"/>
        </w:rPr>
      </w:pPr>
    </w:p>
    <w:p>
      <w:pPr>
        <w:spacing w:after="0" w:line="268" w:lineRule="exact"/>
        <w:rPr>
          <w:sz w:val="20"/>
          <w:szCs w:val="20"/>
          <w:color w:val="auto"/>
        </w:rPr>
      </w:pPr>
    </w:p>
    <w:p>
      <w:pPr>
        <w:ind w:left="360" w:hanging="352"/>
        <w:spacing w:after="0"/>
        <w:tabs>
          <w:tab w:leader="none" w:pos="36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Consolidated Financial Statements of IAC</w:t>
      </w:r>
    </w:p>
    <w:p>
      <w:pPr>
        <w:spacing w:after="0" w:line="121" w:lineRule="exact"/>
        <w:rPr>
          <w:rFonts w:ascii="Times New Roman" w:cs="Times New Roman" w:eastAsia="Times New Roman" w:hAnsi="Times New Roman"/>
          <w:sz w:val="18"/>
          <w:szCs w:val="18"/>
          <w:b w:val="1"/>
          <w:bCs w:val="1"/>
          <w:color w:val="auto"/>
        </w:rPr>
      </w:pPr>
    </w:p>
    <w:p>
      <w:pPr>
        <w:ind w:left="380" w:right="3180"/>
        <w:spacing w:after="0" w:line="37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Report of Independent Registered Public Accounting Firm: Ernst &amp; Young LLP (PCAOB ID: 42). Consolidated Balance Sheet as of December 31, 2024 and 2023.</w:t>
      </w:r>
    </w:p>
    <w:p>
      <w:pPr>
        <w:spacing w:after="0" w:line="1"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Consolidated Statement of Operations for the Years Ended December 31, 2024, 2023 and 2022.</w:t>
      </w:r>
    </w:p>
    <w:p>
      <w:pPr>
        <w:spacing w:after="0" w:line="117" w:lineRule="exact"/>
        <w:rPr>
          <w:rFonts w:ascii="Times New Roman" w:cs="Times New Roman" w:eastAsia="Times New Roman" w:hAnsi="Times New Roman"/>
          <w:sz w:val="18"/>
          <w:szCs w:val="18"/>
          <w:b w:val="1"/>
          <w:bCs w:val="1"/>
          <w:color w:val="auto"/>
        </w:rPr>
      </w:pPr>
    </w:p>
    <w:p>
      <w:pPr>
        <w:ind w:left="340" w:right="2260"/>
        <w:spacing w:after="0" w:line="37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Consolidated Statement of Comprehensive Operations for the Years Ended December 31, 2024, 2023 and 2022. Consolidated Statement of Shareholders' Equity for the Years Ended December 31, 2024, 2023 and 2022. Consolidated Statement of Cash Flows for the Years Ended December 31, 2024, 2023 and 2022.</w:t>
      </w:r>
    </w:p>
    <w:p>
      <w:pPr>
        <w:spacing w:after="0" w:line="1"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rFonts w:ascii="Times New Roman" w:cs="Times New Roman" w:eastAsia="Times New Roman" w:hAnsi="Times New Roman"/>
          <w:sz w:val="18"/>
          <w:szCs w:val="18"/>
          <w:b w:val="1"/>
          <w:bCs w:val="1"/>
          <w:color w:val="auto"/>
        </w:rPr>
      </w:pPr>
    </w:p>
    <w:p>
      <w:pPr>
        <w:spacing w:after="0" w:line="264" w:lineRule="exact"/>
        <w:rPr>
          <w:rFonts w:ascii="Times New Roman" w:cs="Times New Roman" w:eastAsia="Times New Roman" w:hAnsi="Times New Roman"/>
          <w:sz w:val="18"/>
          <w:szCs w:val="18"/>
          <w:b w:val="1"/>
          <w:bCs w:val="1"/>
          <w:color w:val="auto"/>
        </w:rPr>
      </w:pPr>
    </w:p>
    <w:p>
      <w:pPr>
        <w:ind w:left="300" w:hanging="292"/>
        <w:spacing w:after="0"/>
        <w:tabs>
          <w:tab w:leader="none" w:pos="30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Consolidated Financial Statement Schedule of IAC</w:t>
      </w:r>
    </w:p>
    <w:p>
      <w:pPr>
        <w:spacing w:after="0" w:line="2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Schedule</w:t>
      </w:r>
    </w:p>
    <w:p>
      <w:pPr>
        <w:ind w:left="680"/>
        <w:spacing w:after="0"/>
        <w:rPr>
          <w:sz w:val="20"/>
          <w:szCs w:val="20"/>
          <w:color w:val="auto"/>
        </w:rPr>
      </w:pPr>
      <w:r>
        <w:rPr>
          <w:rFonts w:ascii="Times New Roman" w:cs="Times New Roman" w:eastAsia="Times New Roman" w:hAnsi="Times New Roman"/>
          <w:sz w:val="14"/>
          <w:szCs w:val="14"/>
          <w:b w:val="1"/>
          <w:bCs w:val="1"/>
          <w:color w:val="auto"/>
        </w:rPr>
        <w:t>Number</w:t>
      </w:r>
    </w:p>
    <w:p>
      <w:pPr>
        <w:spacing w:after="0" w:line="30" w:lineRule="exact"/>
        <w:rPr>
          <w:sz w:val="20"/>
          <w:szCs w:val="20"/>
          <w:color w:val="auto"/>
        </w:rPr>
      </w:pPr>
    </w:p>
    <w:p>
      <w:pPr>
        <w:ind w:left="880"/>
        <w:spacing w:after="0"/>
        <w:tabs>
          <w:tab w:leader="none" w:pos="1960" w:val="left"/>
        </w:tabs>
        <w:rPr>
          <w:sz w:val="20"/>
          <w:szCs w:val="20"/>
          <w:color w:val="auto"/>
        </w:rPr>
      </w:pPr>
      <w:r>
        <w:rPr>
          <w:rFonts w:ascii="Times New Roman" w:cs="Times New Roman" w:eastAsia="Times New Roman" w:hAnsi="Times New Roman"/>
          <w:sz w:val="18"/>
          <w:szCs w:val="18"/>
          <w:color w:val="auto"/>
        </w:rPr>
        <w:t>II</w:t>
      </w:r>
      <w:r>
        <w:rPr>
          <w:sz w:val="20"/>
          <w:szCs w:val="20"/>
          <w:color w:val="auto"/>
        </w:rPr>
        <w:tab/>
      </w:r>
      <w:r>
        <w:rPr>
          <w:rFonts w:ascii="Times New Roman" w:cs="Times New Roman" w:eastAsia="Times New Roman" w:hAnsi="Times New Roman"/>
          <w:sz w:val="18"/>
          <w:szCs w:val="18"/>
          <w:color w:val="auto"/>
        </w:rPr>
        <w:t>Valuation and Qualifying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17411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174115" cy="8255"/>
                    </a:xfrm>
                    <a:prstGeom prst="rect">
                      <a:avLst/>
                    </a:prstGeom>
                    <a:noFill/>
                  </pic:spPr>
                </pic:pic>
              </a:graphicData>
            </a:graphic>
          </wp:anchor>
        </w:drawing>
      </w:r>
    </w:p>
    <w:p>
      <w:pPr>
        <w:spacing w:after="0" w:line="192"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All other financial statements and schedules not listed have been omitted since the required information is either included in the Consolidated Financial Statements or the notes thereto, is not applicable or is not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20" w:top="995" w:right="9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color w:val="auto"/>
        </w:rPr>
        <w:t>(3)  Exhibits</w:t>
      </w:r>
    </w:p>
    <w:p>
      <w:pPr>
        <w:spacing w:after="0" w:line="148"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exhibits listed below are filed as part of, or are incorporated by reference in, this annual report. References to "Old IAC" below refer to then IAC/InterActiveCorp under SEC File No. 000-20570. IAC/InterActiveCorp changed its name to IAC Inc., effective August 11, 2022. ANGI Homeservices Inc. changed its name to Angi Inc., effective March 17, 2021.</w:t>
      </w:r>
    </w:p>
    <w:p>
      <w:pPr>
        <w:sectPr>
          <w:pgSz w:w="11900" w:h="16838" w:orient="portrait"/>
          <w:cols w:equalWidth="0" w:num="1">
            <w:col w:w="11220"/>
          </w:cols>
          <w:pgMar w:left="320" w:top="1035" w:right="359" w:bottom="1440" w:gutter="0" w:footer="0" w:header="0"/>
        </w:sectPr>
      </w:pPr>
    </w:p>
    <w:p>
      <w:pPr>
        <w:spacing w:after="0" w:line="13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Exhibit</w:t>
      </w:r>
    </w:p>
    <w:p>
      <w:pPr>
        <w:ind w:left="360"/>
        <w:spacing w:after="0"/>
        <w:tabs>
          <w:tab w:leader="none" w:pos="364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443166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431665" cy="8255"/>
                    </a:xfrm>
                    <a:prstGeom prst="rect">
                      <a:avLst/>
                    </a:prstGeom>
                    <a:noFill/>
                  </pic:spPr>
                </pic:pic>
              </a:graphicData>
            </a:graphic>
          </wp:anchor>
        </w:drawing>
      </w:r>
    </w:p>
    <w:p>
      <w:pPr>
        <w:spacing w:after="0" w:line="23" w:lineRule="exact"/>
        <w:rPr>
          <w:sz w:val="20"/>
          <w:szCs w:val="20"/>
          <w:color w:val="auto"/>
        </w:rPr>
      </w:pPr>
    </w:p>
    <w:p>
      <w:pPr>
        <w:jc w:val="both"/>
        <w:ind w:left="1060" w:right="380" w:hanging="368"/>
        <w:spacing w:after="0" w:line="258" w:lineRule="auto"/>
        <w:tabs>
          <w:tab w:leader="none" w:pos="1040" w:val="left"/>
        </w:tabs>
        <w:rPr>
          <w:sz w:val="20"/>
          <w:szCs w:val="20"/>
          <w:color w:val="auto"/>
        </w:rPr>
      </w:pPr>
      <w:r>
        <w:rPr>
          <w:rFonts w:ascii="Times New Roman" w:cs="Times New Roman" w:eastAsia="Times New Roman" w:hAnsi="Times New Roman"/>
          <w:sz w:val="18"/>
          <w:szCs w:val="18"/>
          <w:color w:val="auto"/>
        </w:rPr>
        <w:t>2.1</w:t>
        <w:tab/>
        <w:t>Agreement and Plan of Merger, dated as of October 6, 2021, by and among, About, Inc., Meredith Corporation, Meredith Holdings Corporation and, for certain limited purposes set forth therein, IAC/InterActiveCorp.</w:t>
      </w:r>
    </w:p>
    <w:p>
      <w:pPr>
        <w:spacing w:after="0" w:line="7" w:lineRule="exact"/>
        <w:rPr>
          <w:sz w:val="20"/>
          <w:szCs w:val="20"/>
          <w:color w:val="auto"/>
        </w:rPr>
      </w:pPr>
    </w:p>
    <w:p>
      <w:pPr>
        <w:jc w:val="center"/>
        <w:ind w:left="700"/>
        <w:spacing w:after="0" w:line="282" w:lineRule="auto"/>
        <w:rPr>
          <w:sz w:val="20"/>
          <w:szCs w:val="20"/>
          <w:color w:val="auto"/>
        </w:rPr>
      </w:pPr>
      <w:r>
        <w:rPr>
          <w:rFonts w:ascii="Times New Roman" w:cs="Times New Roman" w:eastAsia="Times New Roman" w:hAnsi="Times New Roman"/>
          <w:sz w:val="18"/>
          <w:szCs w:val="18"/>
          <w:color w:val="auto"/>
        </w:rPr>
        <w:t>2.2  Transaction Agreement, dated as of December 19, 2019, by and among Old IAC, IAC/InterActiveCorp, Valentine Merger Sub LLC and Match Group, Inc.(1)</w:t>
      </w:r>
    </w:p>
    <w:p>
      <w:pPr>
        <w:spacing w:after="0" w:line="283" w:lineRule="exact"/>
        <w:rPr>
          <w:sz w:val="20"/>
          <w:szCs w:val="20"/>
          <w:color w:val="auto"/>
        </w:rPr>
      </w:pPr>
    </w:p>
    <w:p>
      <w:pPr>
        <w:jc w:val="both"/>
        <w:ind w:left="1060" w:right="20" w:hanging="368"/>
        <w:spacing w:after="0" w:line="258" w:lineRule="auto"/>
        <w:tabs>
          <w:tab w:leader="none" w:pos="1040" w:val="left"/>
        </w:tabs>
        <w:rPr>
          <w:sz w:val="20"/>
          <w:szCs w:val="20"/>
          <w:color w:val="auto"/>
        </w:rPr>
      </w:pPr>
      <w:r>
        <w:rPr>
          <w:rFonts w:ascii="Times New Roman" w:cs="Times New Roman" w:eastAsia="Times New Roman" w:hAnsi="Times New Roman"/>
          <w:sz w:val="18"/>
          <w:szCs w:val="18"/>
          <w:color w:val="auto"/>
        </w:rPr>
        <w:t>2.3</w:t>
        <w:tab/>
        <w:t>Amendment No. 1, dated April 28, 2020, to the Transaction Agreement, dated as of December 19, 2019, by and among Old IAC, IAC/InterActiveCorp, Valentine Merger Sub LLC and Match Group, Inc.</w:t>
      </w:r>
    </w:p>
    <w:p>
      <w:pPr>
        <w:spacing w:after="0" w:line="7" w:lineRule="exact"/>
        <w:rPr>
          <w:sz w:val="20"/>
          <w:szCs w:val="20"/>
          <w:color w:val="auto"/>
        </w:rPr>
      </w:pPr>
    </w:p>
    <w:p>
      <w:pPr>
        <w:jc w:val="both"/>
        <w:ind w:left="1060" w:right="40" w:hanging="368"/>
        <w:spacing w:after="0" w:line="258" w:lineRule="auto"/>
        <w:tabs>
          <w:tab w:leader="none" w:pos="1040" w:val="left"/>
        </w:tabs>
        <w:rPr>
          <w:sz w:val="20"/>
          <w:szCs w:val="20"/>
          <w:color w:val="auto"/>
        </w:rPr>
      </w:pPr>
      <w:r>
        <w:rPr>
          <w:rFonts w:ascii="Times New Roman" w:cs="Times New Roman" w:eastAsia="Times New Roman" w:hAnsi="Times New Roman"/>
          <w:sz w:val="18"/>
          <w:szCs w:val="18"/>
          <w:color w:val="auto"/>
        </w:rPr>
        <w:t>2.4</w:t>
        <w:tab/>
        <w:t>Amendment No. 2, dated June 22, 2020, to the Transaction Agreement, dated as of December 19, 2019, by and among Old IAC, IAC/InterActiveCorp, Valentine Merger Sub LLC and Match Group, Inc.</w:t>
      </w:r>
    </w:p>
    <w:p>
      <w:pPr>
        <w:spacing w:after="0" w:line="7" w:lineRule="exact"/>
        <w:rPr>
          <w:sz w:val="20"/>
          <w:szCs w:val="20"/>
          <w:color w:val="auto"/>
        </w:rPr>
      </w:pPr>
    </w:p>
    <w:p>
      <w:pPr>
        <w:ind w:left="700"/>
        <w:spacing w:after="0"/>
        <w:tabs>
          <w:tab w:leader="none" w:pos="1040" w:val="left"/>
        </w:tabs>
        <w:rPr>
          <w:sz w:val="20"/>
          <w:szCs w:val="20"/>
          <w:color w:val="auto"/>
        </w:rPr>
      </w:pPr>
      <w:r>
        <w:rPr>
          <w:rFonts w:ascii="Times New Roman" w:cs="Times New Roman" w:eastAsia="Times New Roman" w:hAnsi="Times New Roman"/>
          <w:sz w:val="18"/>
          <w:szCs w:val="18"/>
          <w:color w:val="auto"/>
        </w:rPr>
        <w:t>3.1</w:t>
        <w:tab/>
        <w:t>Restated Certificate of Incorporation of IAC Inc.</w:t>
      </w:r>
    </w:p>
    <w:p>
      <w:pPr>
        <w:spacing w:after="0" w:line="212" w:lineRule="exact"/>
        <w:rPr>
          <w:sz w:val="20"/>
          <w:szCs w:val="20"/>
          <w:color w:val="auto"/>
        </w:rPr>
      </w:pPr>
    </w:p>
    <w:p>
      <w:pPr>
        <w:ind w:left="1060" w:right="300" w:hanging="368"/>
        <w:spacing w:after="0" w:line="237" w:lineRule="auto"/>
        <w:tabs>
          <w:tab w:leader="none" w:pos="1040" w:val="left"/>
        </w:tabs>
        <w:rPr>
          <w:sz w:val="20"/>
          <w:szCs w:val="20"/>
          <w:color w:val="auto"/>
        </w:rPr>
      </w:pPr>
      <w:r>
        <w:rPr>
          <w:rFonts w:ascii="Times New Roman" w:cs="Times New Roman" w:eastAsia="Times New Roman" w:hAnsi="Times New Roman"/>
          <w:sz w:val="18"/>
          <w:szCs w:val="18"/>
          <w:color w:val="auto"/>
        </w:rPr>
        <w:t>3.2</w:t>
        <w:tab/>
        <w:t>Restated Certificate of Incorporation of IAC/InterActiveCorp (effective as of June 30, 2020).</w:t>
      </w:r>
    </w:p>
    <w:p>
      <w:pPr>
        <w:spacing w:after="0" w:line="10" w:lineRule="exact"/>
        <w:rPr>
          <w:sz w:val="20"/>
          <w:szCs w:val="20"/>
          <w:color w:val="auto"/>
        </w:rPr>
      </w:pPr>
    </w:p>
    <w:p>
      <w:pPr>
        <w:ind w:left="1060" w:right="860" w:hanging="368"/>
        <w:spacing w:after="0" w:line="266" w:lineRule="auto"/>
        <w:tabs>
          <w:tab w:leader="none" w:pos="1040" w:val="left"/>
        </w:tabs>
        <w:rPr>
          <w:sz w:val="20"/>
          <w:szCs w:val="20"/>
          <w:color w:val="auto"/>
        </w:rPr>
      </w:pPr>
      <w:r>
        <w:rPr>
          <w:rFonts w:ascii="Times New Roman" w:cs="Times New Roman" w:eastAsia="Times New Roman" w:hAnsi="Times New Roman"/>
          <w:sz w:val="18"/>
          <w:szCs w:val="18"/>
          <w:color w:val="auto"/>
        </w:rPr>
        <w:t>3.3</w:t>
        <w:tab/>
        <w:t>Certificate of Amendment of Restated Certificate of Incorporation of IAC/InterActiveCorp (effective as of May 25, 2021).</w:t>
      </w:r>
    </w:p>
    <w:p>
      <w:pPr>
        <w:spacing w:after="0" w:line="311" w:lineRule="exact"/>
        <w:rPr>
          <w:sz w:val="20"/>
          <w:szCs w:val="20"/>
          <w:color w:val="auto"/>
        </w:rPr>
      </w:pPr>
    </w:p>
    <w:p>
      <w:pPr>
        <w:ind w:left="1060" w:right="860" w:hanging="368"/>
        <w:spacing w:after="0" w:line="266" w:lineRule="auto"/>
        <w:tabs>
          <w:tab w:leader="none" w:pos="1040" w:val="left"/>
        </w:tabs>
        <w:rPr>
          <w:sz w:val="20"/>
          <w:szCs w:val="20"/>
          <w:color w:val="auto"/>
        </w:rPr>
      </w:pPr>
      <w:r>
        <w:rPr>
          <w:rFonts w:ascii="Times New Roman" w:cs="Times New Roman" w:eastAsia="Times New Roman" w:hAnsi="Times New Roman"/>
          <w:sz w:val="18"/>
          <w:szCs w:val="18"/>
          <w:color w:val="auto"/>
        </w:rPr>
        <w:t>3.4</w:t>
        <w:tab/>
        <w:t>Certificate of Amendment of Restated Certificate of Incorporation of IAC/InterActiveCorp (effective August 11, 2022).</w:t>
      </w:r>
    </w:p>
    <w:p>
      <w:pPr>
        <w:spacing w:after="0" w:line="14" w:lineRule="exact"/>
        <w:rPr>
          <w:sz w:val="20"/>
          <w:szCs w:val="20"/>
          <w:color w:val="auto"/>
        </w:rPr>
      </w:pPr>
    </w:p>
    <w:p>
      <w:pPr>
        <w:ind w:left="700"/>
        <w:spacing w:after="0"/>
        <w:tabs>
          <w:tab w:leader="none" w:pos="1040"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7"/>
          <w:szCs w:val="17"/>
          <w:color w:val="auto"/>
        </w:rPr>
        <w:t>Certificate of Amendment of Restated Certificate of Incorporation of IAC Inc.</w:t>
      </w:r>
    </w:p>
    <w:p>
      <w:pPr>
        <w:spacing w:after="0" w:line="2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(effective June 12, 2024).</w:t>
      </w:r>
    </w:p>
    <w:p>
      <w:pPr>
        <w:spacing w:after="0" w:line="30" w:lineRule="exact"/>
        <w:rPr>
          <w:sz w:val="20"/>
          <w:szCs w:val="20"/>
          <w:color w:val="auto"/>
        </w:rPr>
      </w:pPr>
    </w:p>
    <w:p>
      <w:pPr>
        <w:ind w:left="700"/>
        <w:spacing w:after="0"/>
        <w:tabs>
          <w:tab w:leader="none" w:pos="1040" w:val="left"/>
        </w:tabs>
        <w:rPr>
          <w:sz w:val="20"/>
          <w:szCs w:val="20"/>
          <w:color w:val="auto"/>
        </w:rPr>
      </w:pPr>
      <w:r>
        <w:rPr>
          <w:rFonts w:ascii="Times New Roman" w:cs="Times New Roman" w:eastAsia="Times New Roman" w:hAnsi="Times New Roman"/>
          <w:sz w:val="18"/>
          <w:szCs w:val="18"/>
          <w:color w:val="auto"/>
        </w:rPr>
        <w:t>3.6</w:t>
        <w:tab/>
        <w:t>Certificate of Designations of Series A Cumulative Preferred Stock.</w:t>
      </w:r>
    </w:p>
    <w:p>
      <w:pPr>
        <w:spacing w:after="0" w:line="212" w:lineRule="exact"/>
        <w:rPr>
          <w:sz w:val="20"/>
          <w:szCs w:val="20"/>
          <w:color w:val="auto"/>
        </w:rPr>
      </w:pPr>
    </w:p>
    <w:p>
      <w:pPr>
        <w:ind w:left="700"/>
        <w:spacing w:after="0"/>
        <w:tabs>
          <w:tab w:leader="none" w:pos="1040"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7"/>
          <w:szCs w:val="17"/>
          <w:color w:val="auto"/>
        </w:rPr>
        <w:t>Amended and Restated By-laws of IAC Inc.</w:t>
      </w:r>
    </w:p>
    <w:p>
      <w:pPr>
        <w:spacing w:after="0" w:line="212" w:lineRule="exact"/>
        <w:rPr>
          <w:sz w:val="20"/>
          <w:szCs w:val="20"/>
          <w:color w:val="auto"/>
        </w:rPr>
      </w:pPr>
    </w:p>
    <w:p>
      <w:pPr>
        <w:ind w:left="700"/>
        <w:spacing w:after="0"/>
        <w:tabs>
          <w:tab w:leader="none" w:pos="1040" w:val="left"/>
        </w:tabs>
        <w:rPr>
          <w:sz w:val="20"/>
          <w:szCs w:val="20"/>
          <w:color w:val="auto"/>
        </w:rPr>
      </w:pPr>
      <w:r>
        <w:rPr>
          <w:rFonts w:ascii="Times New Roman" w:cs="Times New Roman" w:eastAsia="Times New Roman" w:hAnsi="Times New Roman"/>
          <w:sz w:val="18"/>
          <w:szCs w:val="18"/>
          <w:color w:val="auto"/>
        </w:rPr>
        <w:t>4.1</w:t>
        <w:tab/>
        <w:t>Description of IAC Inc. Capital Stock.</w:t>
      </w:r>
    </w:p>
    <w:p>
      <w:pPr>
        <w:spacing w:after="0" w:line="212" w:lineRule="exact"/>
        <w:rPr>
          <w:sz w:val="20"/>
          <w:szCs w:val="20"/>
          <w:color w:val="auto"/>
        </w:rPr>
      </w:pPr>
    </w:p>
    <w:p>
      <w:pPr>
        <w:ind w:left="1060" w:right="260" w:hanging="368"/>
        <w:spacing w:after="0" w:line="281" w:lineRule="auto"/>
        <w:tabs>
          <w:tab w:leader="none" w:pos="104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7"/>
          <w:szCs w:val="17"/>
          <w:color w:val="auto"/>
        </w:rPr>
        <w:t>Indenture, dated as of August 20, 2020, among ANGI Group, LLC, the guarantors party thereto and Computershare Trust Company, N.A., as trustee.</w:t>
      </w:r>
    </w:p>
    <w:p>
      <w:pPr>
        <w:spacing w:after="0" w:line="1" w:lineRule="exact"/>
        <w:rPr>
          <w:sz w:val="20"/>
          <w:szCs w:val="20"/>
          <w:color w:val="auto"/>
        </w:rPr>
      </w:pPr>
    </w:p>
    <w:p>
      <w:pPr>
        <w:ind w:left="1060" w:right="340" w:hanging="458"/>
        <w:spacing w:after="0" w:line="237" w:lineRule="auto"/>
        <w:tabs>
          <w:tab w:leader="none" w:pos="1040" w:val="left"/>
        </w:tabs>
        <w:rPr>
          <w:sz w:val="20"/>
          <w:szCs w:val="20"/>
          <w:color w:val="auto"/>
        </w:rPr>
      </w:pPr>
      <w:r>
        <w:rPr>
          <w:rFonts w:ascii="Times New Roman" w:cs="Times New Roman" w:eastAsia="Times New Roman" w:hAnsi="Times New Roman"/>
          <w:sz w:val="18"/>
          <w:szCs w:val="18"/>
          <w:color w:val="auto"/>
        </w:rPr>
        <w:t>10.1</w:t>
        <w:tab/>
        <w:t>Amended and Restated Governance Agreement, dated as of August 9, 2005, among IAC/InterActiveCorp, Liberty Media Corporation and Barry Diller.</w:t>
      </w:r>
    </w:p>
    <w:p>
      <w:pPr>
        <w:spacing w:after="0" w:line="185" w:lineRule="exact"/>
        <w:rPr>
          <w:sz w:val="20"/>
          <w:szCs w:val="20"/>
          <w:color w:val="auto"/>
        </w:rPr>
      </w:pPr>
    </w:p>
    <w:p>
      <w:pPr>
        <w:ind w:left="1060" w:right="100" w:hanging="458"/>
        <w:spacing w:after="0" w:line="222" w:lineRule="auto"/>
        <w:tabs>
          <w:tab w:leader="none" w:pos="1040" w:val="left"/>
        </w:tabs>
        <w:rPr>
          <w:sz w:val="20"/>
          <w:szCs w:val="20"/>
          <w:color w:val="auto"/>
        </w:rPr>
      </w:pPr>
      <w:r>
        <w:rPr>
          <w:rFonts w:ascii="Times New Roman" w:cs="Times New Roman" w:eastAsia="Times New Roman" w:hAnsi="Times New Roman"/>
          <w:sz w:val="18"/>
          <w:szCs w:val="18"/>
          <w:color w:val="auto"/>
        </w:rPr>
        <w:t>10.2</w:t>
        <w:tab/>
        <w:t>Letter Agreement, dated as of December 1, 2010, by and among IAC/InterActiveCorp, Liberty Media Corporation, Liberty USA Holdings, LLC</w:t>
      </w:r>
    </w:p>
    <w:p>
      <w:pPr>
        <w:spacing w:after="0" w:line="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and Barry Diller.</w:t>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4"/>
          <w:szCs w:val="14"/>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33655</wp:posOffset>
            </wp:positionV>
            <wp:extent cx="263144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41" w:lineRule="exact"/>
        <w:rPr>
          <w:sz w:val="20"/>
          <w:szCs w:val="20"/>
          <w:color w:val="auto"/>
        </w:rPr>
      </w:pPr>
    </w:p>
    <w:p>
      <w:pPr>
        <w:ind w:right="240"/>
        <w:spacing w:after="0" w:line="263" w:lineRule="auto"/>
        <w:rPr>
          <w:rFonts w:ascii="Times New Roman" w:cs="Times New Roman" w:eastAsia="Times New Roman" w:hAnsi="Times New Roman"/>
          <w:sz w:val="17"/>
          <w:szCs w:val="17"/>
          <w:color w:val="0000FF"/>
        </w:rPr>
      </w:pPr>
      <w:hyperlink r:id="rId202">
        <w:r>
          <w:rPr>
            <w:rFonts w:ascii="Times New Roman" w:cs="Times New Roman" w:eastAsia="Times New Roman" w:hAnsi="Times New Roman"/>
            <w:sz w:val="17"/>
            <w:szCs w:val="17"/>
            <w:u w:val="single" w:color="auto"/>
            <w:color w:val="0000FF"/>
          </w:rPr>
          <w:t>Filed as Exhibit 2.1 to IAC/InterActiveCorp's Current</w:t>
        </w:r>
      </w:hyperlink>
      <w:r>
        <w:rPr>
          <w:rFonts w:ascii="Times New Roman" w:cs="Times New Roman" w:eastAsia="Times New Roman" w:hAnsi="Times New Roman"/>
          <w:sz w:val="17"/>
          <w:szCs w:val="17"/>
          <w:u w:val="single" w:color="auto"/>
          <w:color w:val="0000FF"/>
        </w:rPr>
        <w:t xml:space="preserve"> </w:t>
      </w:r>
      <w:hyperlink r:id="rId202">
        <w:r>
          <w:rPr>
            <w:rFonts w:ascii="Times New Roman" w:cs="Times New Roman" w:eastAsia="Times New Roman" w:hAnsi="Times New Roman"/>
            <w:sz w:val="17"/>
            <w:szCs w:val="17"/>
            <w:u w:val="single" w:color="auto"/>
            <w:color w:val="0000FF"/>
          </w:rPr>
          <w:t>Report on Form 8-K, filed on October 7, 2021</w:t>
        </w:r>
        <w:r>
          <w:rPr>
            <w:rFonts w:ascii="Times New Roman" w:cs="Times New Roman" w:eastAsia="Times New Roman" w:hAnsi="Times New Roman"/>
            <w:sz w:val="17"/>
            <w:szCs w:val="17"/>
            <w:color w:val="000000"/>
          </w:rPr>
          <w:t>.</w:t>
        </w:r>
      </w:hyperlink>
    </w:p>
    <w:p>
      <w:pPr>
        <w:spacing w:after="0" w:line="247" w:lineRule="exact"/>
        <w:rPr>
          <w:sz w:val="20"/>
          <w:szCs w:val="20"/>
          <w:color w:val="auto"/>
        </w:rPr>
      </w:pPr>
    </w:p>
    <w:p>
      <w:pPr>
        <w:spacing w:after="0" w:line="236" w:lineRule="auto"/>
        <w:rPr>
          <w:rFonts w:ascii="Times New Roman" w:cs="Times New Roman" w:eastAsia="Times New Roman" w:hAnsi="Times New Roman"/>
          <w:sz w:val="17"/>
          <w:szCs w:val="17"/>
          <w:u w:val="single" w:color="auto"/>
          <w:color w:val="0000FF"/>
        </w:rPr>
      </w:pPr>
      <w:hyperlink r:id="rId203">
        <w:r>
          <w:rPr>
            <w:rFonts w:ascii="Times New Roman" w:cs="Times New Roman" w:eastAsia="Times New Roman" w:hAnsi="Times New Roman"/>
            <w:sz w:val="17"/>
            <w:szCs w:val="17"/>
            <w:u w:val="single" w:color="auto"/>
            <w:color w:val="0000FF"/>
          </w:rPr>
          <w:t>Filed as Annex A to the joint proxy statement/prospectus</w:t>
        </w:r>
      </w:hyperlink>
      <w:r>
        <w:rPr>
          <w:rFonts w:ascii="Times New Roman" w:cs="Times New Roman" w:eastAsia="Times New Roman" w:hAnsi="Times New Roman"/>
          <w:sz w:val="17"/>
          <w:szCs w:val="17"/>
          <w:u w:val="single" w:color="auto"/>
          <w:color w:val="0000FF"/>
        </w:rPr>
        <w:t xml:space="preserve"> </w:t>
      </w:r>
      <w:hyperlink r:id="rId203">
        <w:r>
          <w:rPr>
            <w:rFonts w:ascii="Times New Roman" w:cs="Times New Roman" w:eastAsia="Times New Roman" w:hAnsi="Times New Roman"/>
            <w:sz w:val="17"/>
            <w:szCs w:val="17"/>
            <w:u w:val="single" w:color="auto"/>
            <w:color w:val="0000FF"/>
          </w:rPr>
          <w:t>forming a part of IAC/InterActiveCorp’s Registration</w:t>
        </w:r>
      </w:hyperlink>
    </w:p>
    <w:p>
      <w:pPr>
        <w:ind w:right="860"/>
        <w:spacing w:after="0" w:line="239" w:lineRule="auto"/>
        <w:rPr>
          <w:rFonts w:ascii="Times New Roman" w:cs="Times New Roman" w:eastAsia="Times New Roman" w:hAnsi="Times New Roman"/>
          <w:sz w:val="17"/>
          <w:szCs w:val="17"/>
          <w:color w:val="0000FF"/>
        </w:rPr>
      </w:pPr>
      <w:hyperlink r:id="rId203">
        <w:r>
          <w:rPr>
            <w:rFonts w:ascii="Times New Roman" w:cs="Times New Roman" w:eastAsia="Times New Roman" w:hAnsi="Times New Roman"/>
            <w:sz w:val="17"/>
            <w:szCs w:val="17"/>
            <w:u w:val="single" w:color="auto"/>
            <w:color w:val="0000FF"/>
          </w:rPr>
          <w:t>Statement on Form S-4 filed by Old IAC and</w:t>
        </w:r>
      </w:hyperlink>
      <w:r>
        <w:rPr>
          <w:rFonts w:ascii="Times New Roman" w:cs="Times New Roman" w:eastAsia="Times New Roman" w:hAnsi="Times New Roman"/>
          <w:sz w:val="17"/>
          <w:szCs w:val="17"/>
          <w:u w:val="single" w:color="auto"/>
          <w:color w:val="0000FF"/>
        </w:rPr>
        <w:t xml:space="preserve"> </w:t>
      </w:r>
      <w:hyperlink r:id="rId203">
        <w:r>
          <w:rPr>
            <w:rFonts w:ascii="Times New Roman" w:cs="Times New Roman" w:eastAsia="Times New Roman" w:hAnsi="Times New Roman"/>
            <w:sz w:val="17"/>
            <w:szCs w:val="17"/>
            <w:u w:val="single" w:color="auto"/>
            <w:color w:val="0000FF"/>
          </w:rPr>
          <w:t>IAC/InterActiveCorp on February 13, 2020</w:t>
        </w:r>
        <w:r>
          <w:rPr>
            <w:rFonts w:ascii="Times New Roman" w:cs="Times New Roman" w:eastAsia="Times New Roman" w:hAnsi="Times New Roman"/>
            <w:sz w:val="17"/>
            <w:szCs w:val="17"/>
            <w:color w:val="000000"/>
          </w:rPr>
          <w:t>.</w:t>
        </w:r>
      </w:hyperlink>
    </w:p>
    <w:p>
      <w:pPr>
        <w:spacing w:after="0" w:line="1" w:lineRule="exact"/>
        <w:rPr>
          <w:sz w:val="20"/>
          <w:szCs w:val="20"/>
          <w:color w:val="auto"/>
        </w:rPr>
      </w:pPr>
    </w:p>
    <w:p>
      <w:pPr>
        <w:ind w:right="360"/>
        <w:spacing w:after="0" w:line="234" w:lineRule="auto"/>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u w:val="single" w:color="auto"/>
            <w:color w:val="0000FF"/>
          </w:rPr>
          <w:t>Filed as Exhibit 2.1 to Old IAC’s Current Report on</w:t>
        </w:r>
      </w:hyperlink>
      <w:r>
        <w:rPr>
          <w:rFonts w:ascii="Times New Roman" w:cs="Times New Roman" w:eastAsia="Times New Roman" w:hAnsi="Times New Roman"/>
          <w:sz w:val="18"/>
          <w:szCs w:val="18"/>
          <w:u w:val="single" w:color="auto"/>
          <w:color w:val="0000FF"/>
        </w:rPr>
        <w:t xml:space="preserve"> </w:t>
      </w:r>
      <w:hyperlink r:id="rId204">
        <w:r>
          <w:rPr>
            <w:rFonts w:ascii="Times New Roman" w:cs="Times New Roman" w:eastAsia="Times New Roman" w:hAnsi="Times New Roman"/>
            <w:sz w:val="18"/>
            <w:szCs w:val="18"/>
            <w:u w:val="single" w:color="auto"/>
            <w:color w:val="0000FF"/>
          </w:rPr>
          <w:t>Form 8-K, filed on April 28, 2020</w:t>
        </w:r>
        <w:r>
          <w:rPr>
            <w:rFonts w:ascii="Times New Roman" w:cs="Times New Roman" w:eastAsia="Times New Roman" w:hAnsi="Times New Roman"/>
            <w:sz w:val="18"/>
            <w:szCs w:val="18"/>
            <w:color w:val="000000"/>
          </w:rPr>
          <w:t>.</w:t>
        </w:r>
      </w:hyperlink>
    </w:p>
    <w:p>
      <w:pPr>
        <w:spacing w:after="0" w:line="267" w:lineRule="exact"/>
        <w:rPr>
          <w:sz w:val="20"/>
          <w:szCs w:val="20"/>
          <w:color w:val="auto"/>
        </w:rPr>
      </w:pPr>
    </w:p>
    <w:p>
      <w:pPr>
        <w:ind w:right="360"/>
        <w:spacing w:after="0" w:line="237" w:lineRule="auto"/>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u w:val="single" w:color="auto"/>
            <w:color w:val="0000FF"/>
          </w:rPr>
          <w:t>Filed as Exhibit 2.1 to Old IAC’s Current Report on</w:t>
        </w:r>
      </w:hyperlink>
      <w:r>
        <w:rPr>
          <w:rFonts w:ascii="Times New Roman" w:cs="Times New Roman" w:eastAsia="Times New Roman" w:hAnsi="Times New Roman"/>
          <w:sz w:val="18"/>
          <w:szCs w:val="18"/>
          <w:u w:val="single" w:color="auto"/>
          <w:color w:val="0000FF"/>
        </w:rPr>
        <w:t xml:space="preserve"> </w:t>
      </w:r>
      <w:hyperlink r:id="rId205">
        <w:r>
          <w:rPr>
            <w:rFonts w:ascii="Times New Roman" w:cs="Times New Roman" w:eastAsia="Times New Roman" w:hAnsi="Times New Roman"/>
            <w:sz w:val="18"/>
            <w:szCs w:val="18"/>
            <w:u w:val="single" w:color="auto"/>
            <w:color w:val="0000FF"/>
          </w:rPr>
          <w:t>Form 8-K, filed on June 22, 2020</w:t>
        </w:r>
        <w:r>
          <w:rPr>
            <w:rFonts w:ascii="Times New Roman" w:cs="Times New Roman" w:eastAsia="Times New Roman" w:hAnsi="Times New Roman"/>
            <w:sz w:val="18"/>
            <w:szCs w:val="18"/>
            <w:color w:val="000000"/>
          </w:rPr>
          <w:t>.</w:t>
        </w:r>
      </w:hyperlink>
    </w:p>
    <w:p>
      <w:pPr>
        <w:spacing w:after="0" w:line="266" w:lineRule="exact"/>
        <w:rPr>
          <w:sz w:val="20"/>
          <w:szCs w:val="20"/>
          <w:color w:val="auto"/>
        </w:rPr>
      </w:pPr>
    </w:p>
    <w:p>
      <w:pPr>
        <w:spacing w:after="0" w:line="237" w:lineRule="auto"/>
        <w:rPr>
          <w:rFonts w:ascii="Times New Roman" w:cs="Times New Roman" w:eastAsia="Times New Roman" w:hAnsi="Times New Roman"/>
          <w:sz w:val="18"/>
          <w:szCs w:val="18"/>
          <w:color w:val="0000FF"/>
        </w:rPr>
      </w:pPr>
      <w:hyperlink r:id="rId206">
        <w:r>
          <w:rPr>
            <w:rFonts w:ascii="Times New Roman" w:cs="Times New Roman" w:eastAsia="Times New Roman" w:hAnsi="Times New Roman"/>
            <w:sz w:val="18"/>
            <w:szCs w:val="18"/>
            <w:u w:val="single" w:color="auto"/>
            <w:color w:val="0000FF"/>
          </w:rPr>
          <w:t>Exhibit 3.1 to IAC Inc.'s Quarterly Report on Form 10-Q</w:t>
        </w:r>
      </w:hyperlink>
      <w:r>
        <w:rPr>
          <w:rFonts w:ascii="Times New Roman" w:cs="Times New Roman" w:eastAsia="Times New Roman" w:hAnsi="Times New Roman"/>
          <w:sz w:val="18"/>
          <w:szCs w:val="18"/>
          <w:u w:val="single" w:color="auto"/>
          <w:color w:val="0000FF"/>
        </w:rPr>
        <w:t xml:space="preserve"> </w:t>
      </w:r>
      <w:hyperlink r:id="rId206">
        <w:r>
          <w:rPr>
            <w:rFonts w:ascii="Times New Roman" w:cs="Times New Roman" w:eastAsia="Times New Roman" w:hAnsi="Times New Roman"/>
            <w:sz w:val="18"/>
            <w:szCs w:val="18"/>
            <w:u w:val="single" w:color="auto"/>
            <w:color w:val="0000FF"/>
          </w:rPr>
          <w:t>for the fiscal quarter ended June 30, 2024</w:t>
        </w:r>
        <w:r>
          <w:rPr>
            <w:rFonts w:ascii="Times New Roman" w:cs="Times New Roman" w:eastAsia="Times New Roman" w:hAnsi="Times New Roman"/>
            <w:sz w:val="18"/>
            <w:szCs w:val="18"/>
            <w:color w:val="000000"/>
          </w:rPr>
          <w:t>.</w:t>
        </w:r>
      </w:hyperlink>
    </w:p>
    <w:p>
      <w:pPr>
        <w:spacing w:after="0" w:line="10" w:lineRule="exact"/>
        <w:rPr>
          <w:sz w:val="20"/>
          <w:szCs w:val="20"/>
          <w:color w:val="auto"/>
        </w:rPr>
      </w:pPr>
    </w:p>
    <w:p>
      <w:pPr>
        <w:ind w:right="20"/>
        <w:spacing w:after="0" w:line="237" w:lineRule="auto"/>
        <w:rPr>
          <w:rFonts w:ascii="Times New Roman" w:cs="Times New Roman" w:eastAsia="Times New Roman" w:hAnsi="Times New Roman"/>
          <w:sz w:val="18"/>
          <w:szCs w:val="18"/>
          <w:color w:val="0000FF"/>
        </w:rPr>
      </w:pPr>
      <w:hyperlink r:id="rId207">
        <w:r>
          <w:rPr>
            <w:rFonts w:ascii="Times New Roman" w:cs="Times New Roman" w:eastAsia="Times New Roman" w:hAnsi="Times New Roman"/>
            <w:sz w:val="18"/>
            <w:szCs w:val="18"/>
            <w:u w:val="single" w:color="auto"/>
            <w:color w:val="0000FF"/>
          </w:rPr>
          <w:t>Filed as Exhibit 3.1(c) to IAC/InterActiveCorp’s Current</w:t>
        </w:r>
      </w:hyperlink>
      <w:r>
        <w:rPr>
          <w:rFonts w:ascii="Times New Roman" w:cs="Times New Roman" w:eastAsia="Times New Roman" w:hAnsi="Times New Roman"/>
          <w:sz w:val="18"/>
          <w:szCs w:val="18"/>
          <w:u w:val="single" w:color="auto"/>
          <w:color w:val="0000FF"/>
        </w:rPr>
        <w:t xml:space="preserve"> </w:t>
      </w:r>
      <w:hyperlink r:id="rId207">
        <w:r>
          <w:rPr>
            <w:rFonts w:ascii="Times New Roman" w:cs="Times New Roman" w:eastAsia="Times New Roman" w:hAnsi="Times New Roman"/>
            <w:sz w:val="18"/>
            <w:szCs w:val="18"/>
            <w:u w:val="single" w:color="auto"/>
            <w:color w:val="0000FF"/>
          </w:rPr>
          <w:t>Report on Form 8-K filed on July 2, 2020</w:t>
        </w:r>
        <w:r>
          <w:rPr>
            <w:rFonts w:ascii="Times New Roman" w:cs="Times New Roman" w:eastAsia="Times New Roman" w:hAnsi="Times New Roman"/>
            <w:sz w:val="18"/>
            <w:szCs w:val="18"/>
            <w:color w:val="000000"/>
          </w:rPr>
          <w:t>.</w:t>
        </w:r>
      </w:hyperlink>
    </w:p>
    <w:p>
      <w:pPr>
        <w:spacing w:after="0" w:line="10" w:lineRule="exact"/>
        <w:rPr>
          <w:sz w:val="20"/>
          <w:szCs w:val="20"/>
          <w:color w:val="auto"/>
        </w:rPr>
      </w:pPr>
    </w:p>
    <w:p>
      <w:pPr>
        <w:ind w:right="180"/>
        <w:spacing w:after="0" w:line="236" w:lineRule="auto"/>
        <w:rPr>
          <w:rFonts w:ascii="Times New Roman" w:cs="Times New Roman" w:eastAsia="Times New Roman" w:hAnsi="Times New Roman"/>
          <w:sz w:val="17"/>
          <w:szCs w:val="17"/>
          <w:u w:val="single" w:color="auto"/>
          <w:color w:val="0000FF"/>
        </w:rPr>
      </w:pPr>
      <w:hyperlink r:id="rId208">
        <w:r>
          <w:rPr>
            <w:rFonts w:ascii="Times New Roman" w:cs="Times New Roman" w:eastAsia="Times New Roman" w:hAnsi="Times New Roman"/>
            <w:sz w:val="17"/>
            <w:szCs w:val="17"/>
            <w:u w:val="single" w:color="auto"/>
            <w:color w:val="0000FF"/>
          </w:rPr>
          <w:t>Exhibit 4.2 to the Post-Effective Amendment No. 1 on</w:t>
        </w:r>
      </w:hyperlink>
      <w:r>
        <w:rPr>
          <w:rFonts w:ascii="Times New Roman" w:cs="Times New Roman" w:eastAsia="Times New Roman" w:hAnsi="Times New Roman"/>
          <w:sz w:val="17"/>
          <w:szCs w:val="17"/>
          <w:u w:val="single" w:color="auto"/>
          <w:color w:val="0000FF"/>
        </w:rPr>
        <w:t xml:space="preserve"> </w:t>
      </w:r>
      <w:hyperlink r:id="rId208">
        <w:r>
          <w:rPr>
            <w:rFonts w:ascii="Times New Roman" w:cs="Times New Roman" w:eastAsia="Times New Roman" w:hAnsi="Times New Roman"/>
            <w:sz w:val="17"/>
            <w:szCs w:val="17"/>
            <w:u w:val="single" w:color="auto"/>
            <w:color w:val="0000FF"/>
          </w:rPr>
          <w:t>Form S-8 to Registration Statement on Form S-4 (File</w:t>
        </w:r>
      </w:hyperlink>
    </w:p>
    <w:p>
      <w:pPr>
        <w:ind w:right="40"/>
        <w:spacing w:after="0" w:line="226" w:lineRule="auto"/>
        <w:rPr>
          <w:rFonts w:ascii="Times New Roman" w:cs="Times New Roman" w:eastAsia="Times New Roman" w:hAnsi="Times New Roman"/>
          <w:sz w:val="18"/>
          <w:szCs w:val="18"/>
          <w:color w:val="0000FF"/>
        </w:rPr>
      </w:pPr>
      <w:hyperlink r:id="rId208">
        <w:r>
          <w:rPr>
            <w:rFonts w:ascii="Times New Roman" w:cs="Times New Roman" w:eastAsia="Times New Roman" w:hAnsi="Times New Roman"/>
            <w:sz w:val="18"/>
            <w:szCs w:val="18"/>
            <w:u w:val="single" w:color="auto"/>
            <w:color w:val="0000FF"/>
          </w:rPr>
          <w:t>No. 333-251656), filed by IAC/InterActiveCorp on May</w:t>
        </w:r>
      </w:hyperlink>
      <w:r>
        <w:rPr>
          <w:rFonts w:ascii="Times New Roman" w:cs="Times New Roman" w:eastAsia="Times New Roman" w:hAnsi="Times New Roman"/>
          <w:sz w:val="18"/>
          <w:szCs w:val="18"/>
          <w:u w:val="single" w:color="auto"/>
          <w:color w:val="0000FF"/>
        </w:rPr>
        <w:t xml:space="preserve"> </w:t>
      </w:r>
      <w:hyperlink r:id="rId208">
        <w:r>
          <w:rPr>
            <w:rFonts w:ascii="Times New Roman" w:cs="Times New Roman" w:eastAsia="Times New Roman" w:hAnsi="Times New Roman"/>
            <w:sz w:val="18"/>
            <w:szCs w:val="18"/>
            <w:u w:val="single" w:color="auto"/>
            <w:color w:val="0000FF"/>
          </w:rPr>
          <w:t>26, 2021</w:t>
        </w:r>
        <w:r>
          <w:rPr>
            <w:rFonts w:ascii="Times New Roman" w:cs="Times New Roman" w:eastAsia="Times New Roman" w:hAnsi="Times New Roman"/>
            <w:sz w:val="18"/>
            <w:szCs w:val="18"/>
            <w:color w:val="000000"/>
          </w:rPr>
          <w:t>.</w:t>
        </w:r>
      </w:hyperlink>
    </w:p>
    <w:p>
      <w:pPr>
        <w:ind w:right="180"/>
        <w:spacing w:after="0" w:line="234" w:lineRule="auto"/>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u w:val="single" w:color="auto"/>
            <w:color w:val="0000FF"/>
          </w:rPr>
          <w:t>Exhibit 3.1 to IAC Inc.'s Current Report on Form 8-K,</w:t>
        </w:r>
      </w:hyperlink>
      <w:r>
        <w:rPr>
          <w:rFonts w:ascii="Times New Roman" w:cs="Times New Roman" w:eastAsia="Times New Roman" w:hAnsi="Times New Roman"/>
          <w:sz w:val="18"/>
          <w:szCs w:val="18"/>
          <w:u w:val="single" w:color="auto"/>
          <w:color w:val="0000FF"/>
        </w:rPr>
        <w:t xml:space="preserve"> </w:t>
      </w:r>
      <w:hyperlink r:id="rId209">
        <w:r>
          <w:rPr>
            <w:rFonts w:ascii="Times New Roman" w:cs="Times New Roman" w:eastAsia="Times New Roman" w:hAnsi="Times New Roman"/>
            <w:sz w:val="18"/>
            <w:szCs w:val="18"/>
            <w:u w:val="single" w:color="auto"/>
            <w:color w:val="0000FF"/>
          </w:rPr>
          <w:t>filed on August 12, 2022</w:t>
        </w:r>
        <w:r>
          <w:rPr>
            <w:rFonts w:ascii="Times New Roman" w:cs="Times New Roman" w:eastAsia="Times New Roman" w:hAnsi="Times New Roman"/>
            <w:sz w:val="18"/>
            <w:szCs w:val="18"/>
            <w:color w:val="000000"/>
          </w:rPr>
          <w:t>.</w:t>
        </w:r>
      </w:hyperlink>
    </w:p>
    <w:p>
      <w:pPr>
        <w:spacing w:after="0" w:line="64" w:lineRule="exact"/>
        <w:rPr>
          <w:sz w:val="20"/>
          <w:szCs w:val="20"/>
          <w:color w:val="auto"/>
        </w:rPr>
      </w:pPr>
    </w:p>
    <w:p>
      <w:pPr>
        <w:ind w:right="180"/>
        <w:spacing w:after="0" w:line="237" w:lineRule="auto"/>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u w:val="single" w:color="auto"/>
            <w:color w:val="0000FF"/>
          </w:rPr>
          <w:t>Exhibit 3.1 to IAC Inc.'s Current Report on Form 8-K,</w:t>
        </w:r>
      </w:hyperlink>
      <w:r>
        <w:rPr>
          <w:rFonts w:ascii="Times New Roman" w:cs="Times New Roman" w:eastAsia="Times New Roman" w:hAnsi="Times New Roman"/>
          <w:sz w:val="18"/>
          <w:szCs w:val="18"/>
          <w:u w:val="single" w:color="auto"/>
          <w:color w:val="0000FF"/>
        </w:rPr>
        <w:t xml:space="preserve"> </w:t>
      </w:r>
      <w:hyperlink r:id="rId210">
        <w:r>
          <w:rPr>
            <w:rFonts w:ascii="Times New Roman" w:cs="Times New Roman" w:eastAsia="Times New Roman" w:hAnsi="Times New Roman"/>
            <w:sz w:val="18"/>
            <w:szCs w:val="18"/>
            <w:u w:val="single" w:color="auto"/>
            <w:color w:val="0000FF"/>
          </w:rPr>
          <w:t>filed on June 13, 2024</w:t>
        </w:r>
        <w:r>
          <w:rPr>
            <w:rFonts w:ascii="Times New Roman" w:cs="Times New Roman" w:eastAsia="Times New Roman" w:hAnsi="Times New Roman"/>
            <w:sz w:val="18"/>
            <w:szCs w:val="18"/>
            <w:color w:val="000000"/>
          </w:rPr>
          <w:t>.</w:t>
        </w:r>
      </w:hyperlink>
    </w:p>
    <w:p>
      <w:pPr>
        <w:spacing w:after="0" w:line="64" w:lineRule="exact"/>
        <w:rPr>
          <w:sz w:val="20"/>
          <w:szCs w:val="20"/>
          <w:color w:val="auto"/>
        </w:rPr>
      </w:pPr>
    </w:p>
    <w:p>
      <w:pPr>
        <w:ind w:right="220"/>
        <w:spacing w:after="0" w:line="237" w:lineRule="auto"/>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u w:val="single" w:color="auto"/>
            <w:color w:val="0000FF"/>
          </w:rPr>
          <w:t>Filed as Exhibit 3.2 to IAC/InterActiveCorp’s Current</w:t>
        </w:r>
      </w:hyperlink>
      <w:r>
        <w:rPr>
          <w:rFonts w:ascii="Times New Roman" w:cs="Times New Roman" w:eastAsia="Times New Roman" w:hAnsi="Times New Roman"/>
          <w:sz w:val="18"/>
          <w:szCs w:val="18"/>
          <w:u w:val="single" w:color="auto"/>
          <w:color w:val="0000FF"/>
        </w:rPr>
        <w:t xml:space="preserve"> </w:t>
      </w:r>
      <w:hyperlink r:id="rId211">
        <w:r>
          <w:rPr>
            <w:rFonts w:ascii="Times New Roman" w:cs="Times New Roman" w:eastAsia="Times New Roman" w:hAnsi="Times New Roman"/>
            <w:sz w:val="18"/>
            <w:szCs w:val="18"/>
            <w:u w:val="single" w:color="auto"/>
            <w:color w:val="0000FF"/>
          </w:rPr>
          <w:t>Report on Form 8-K filed on July 2, 2020</w:t>
        </w:r>
        <w:r>
          <w:rPr>
            <w:rFonts w:ascii="Times New Roman" w:cs="Times New Roman" w:eastAsia="Times New Roman" w:hAnsi="Times New Roman"/>
            <w:sz w:val="18"/>
            <w:szCs w:val="18"/>
            <w:color w:val="000000"/>
          </w:rPr>
          <w:t>.</w:t>
        </w:r>
      </w:hyperlink>
    </w:p>
    <w:p>
      <w:pPr>
        <w:spacing w:after="0" w:line="10" w:lineRule="exact"/>
        <w:rPr>
          <w:sz w:val="20"/>
          <w:szCs w:val="20"/>
          <w:color w:val="auto"/>
        </w:rPr>
      </w:pPr>
    </w:p>
    <w:p>
      <w:pPr>
        <w:ind w:right="180"/>
        <w:spacing w:after="0" w:line="237" w:lineRule="auto"/>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u w:val="single" w:color="auto"/>
            <w:color w:val="0000FF"/>
          </w:rPr>
          <w:t>Exhibit 3.1 to IAC Inc.'s Current Report on Form 8-K,</w:t>
        </w:r>
      </w:hyperlink>
      <w:r>
        <w:rPr>
          <w:rFonts w:ascii="Times New Roman" w:cs="Times New Roman" w:eastAsia="Times New Roman" w:hAnsi="Times New Roman"/>
          <w:sz w:val="18"/>
          <w:szCs w:val="18"/>
          <w:u w:val="single" w:color="auto"/>
          <w:color w:val="0000FF"/>
        </w:rPr>
        <w:t xml:space="preserve"> </w:t>
      </w:r>
      <w:hyperlink r:id="rId212">
        <w:r>
          <w:rPr>
            <w:rFonts w:ascii="Times New Roman" w:cs="Times New Roman" w:eastAsia="Times New Roman" w:hAnsi="Times New Roman"/>
            <w:sz w:val="18"/>
            <w:szCs w:val="18"/>
            <w:u w:val="single" w:color="auto"/>
            <w:color w:val="0000FF"/>
          </w:rPr>
          <w:t>filed on September 18, 2023</w:t>
        </w:r>
        <w:r>
          <w:rPr>
            <w:rFonts w:ascii="Times New Roman" w:cs="Times New Roman" w:eastAsia="Times New Roman" w:hAnsi="Times New Roman"/>
            <w:sz w:val="18"/>
            <w:szCs w:val="18"/>
            <w:color w:val="000000"/>
          </w:rPr>
          <w:t>.</w:t>
        </w:r>
      </w:hyperlink>
    </w:p>
    <w:p>
      <w:pPr>
        <w:spacing w:after="0" w:line="10" w:lineRule="exact"/>
        <w:rPr>
          <w:sz w:val="20"/>
          <w:szCs w:val="20"/>
          <w:color w:val="auto"/>
        </w:rPr>
      </w:pPr>
    </w:p>
    <w:p>
      <w:pPr>
        <w:ind w:right="20"/>
        <w:spacing w:after="0" w:line="256" w:lineRule="auto"/>
        <w:rPr>
          <w:rFonts w:ascii="Times New Roman" w:cs="Times New Roman" w:eastAsia="Times New Roman" w:hAnsi="Times New Roman"/>
          <w:sz w:val="17"/>
          <w:szCs w:val="17"/>
          <w:color w:val="0000FF"/>
        </w:rPr>
      </w:pPr>
      <w:hyperlink r:id="rId213">
        <w:r>
          <w:rPr>
            <w:rFonts w:ascii="Times New Roman" w:cs="Times New Roman" w:eastAsia="Times New Roman" w:hAnsi="Times New Roman"/>
            <w:sz w:val="17"/>
            <w:szCs w:val="17"/>
            <w:u w:val="single" w:color="auto"/>
            <w:color w:val="0000FF"/>
          </w:rPr>
          <w:t>Filed as Exhibit 4.1 to IAC Inc.'s Annual Report on</w:t>
        </w:r>
      </w:hyperlink>
      <w:r>
        <w:rPr>
          <w:rFonts w:ascii="Times New Roman" w:cs="Times New Roman" w:eastAsia="Times New Roman" w:hAnsi="Times New Roman"/>
          <w:sz w:val="17"/>
          <w:szCs w:val="17"/>
          <w:u w:val="single" w:color="auto"/>
          <w:color w:val="0000FF"/>
        </w:rPr>
        <w:t xml:space="preserve"> </w:t>
      </w:r>
      <w:hyperlink r:id="rId213">
        <w:r>
          <w:rPr>
            <w:rFonts w:ascii="Times New Roman" w:cs="Times New Roman" w:eastAsia="Times New Roman" w:hAnsi="Times New Roman"/>
            <w:sz w:val="17"/>
            <w:szCs w:val="17"/>
            <w:u w:val="single" w:color="auto"/>
            <w:color w:val="0000FF"/>
          </w:rPr>
          <w:t>Form 10-K for the fiscal year ended December 31, 2022</w:t>
        </w:r>
      </w:hyperlink>
      <w:r>
        <w:rPr>
          <w:rFonts w:ascii="Times New Roman" w:cs="Times New Roman" w:eastAsia="Times New Roman" w:hAnsi="Times New Roman"/>
          <w:sz w:val="17"/>
          <w:szCs w:val="17"/>
          <w:color w:val="000000"/>
        </w:rPr>
        <w:t>.</w:t>
      </w:r>
    </w:p>
    <w:p>
      <w:pPr>
        <w:spacing w:after="0" w:line="1" w:lineRule="exact"/>
        <w:rPr>
          <w:sz w:val="20"/>
          <w:szCs w:val="20"/>
          <w:color w:val="auto"/>
        </w:rPr>
      </w:pPr>
    </w:p>
    <w:p>
      <w:pPr>
        <w:jc w:val="both"/>
        <w:ind w:right="140"/>
        <w:spacing w:after="0" w:line="263" w:lineRule="auto"/>
        <w:rPr>
          <w:rFonts w:ascii="Times New Roman" w:cs="Times New Roman" w:eastAsia="Times New Roman" w:hAnsi="Times New Roman"/>
          <w:sz w:val="17"/>
          <w:szCs w:val="17"/>
          <w:color w:val="0000FF"/>
        </w:rPr>
      </w:pPr>
      <w:hyperlink r:id="rId214">
        <w:r>
          <w:rPr>
            <w:rFonts w:ascii="Times New Roman" w:cs="Times New Roman" w:eastAsia="Times New Roman" w:hAnsi="Times New Roman"/>
            <w:sz w:val="17"/>
            <w:szCs w:val="17"/>
            <w:u w:val="single" w:color="auto"/>
            <w:color w:val="0000FF"/>
          </w:rPr>
          <w:t>Filed as Exhibit 4.1 to the Current Report on Form 8-K</w:t>
        </w:r>
      </w:hyperlink>
      <w:r>
        <w:rPr>
          <w:rFonts w:ascii="Times New Roman" w:cs="Times New Roman" w:eastAsia="Times New Roman" w:hAnsi="Times New Roman"/>
          <w:sz w:val="17"/>
          <w:szCs w:val="17"/>
          <w:u w:val="single" w:color="auto"/>
          <w:color w:val="0000FF"/>
        </w:rPr>
        <w:t xml:space="preserve"> </w:t>
      </w:r>
      <w:hyperlink r:id="rId214">
        <w:r>
          <w:rPr>
            <w:rFonts w:ascii="Times New Roman" w:cs="Times New Roman" w:eastAsia="Times New Roman" w:hAnsi="Times New Roman"/>
            <w:sz w:val="17"/>
            <w:szCs w:val="17"/>
            <w:u w:val="single" w:color="auto"/>
            <w:color w:val="0000FF"/>
          </w:rPr>
          <w:t>filed by ANGI Homeservices Inc. on August 20, 2020</w:t>
        </w:r>
        <w:r>
          <w:rPr>
            <w:rFonts w:ascii="Times New Roman" w:cs="Times New Roman" w:eastAsia="Times New Roman" w:hAnsi="Times New Roman"/>
            <w:sz w:val="17"/>
            <w:szCs w:val="17"/>
            <w:color w:val="000000"/>
          </w:rPr>
          <w:t>.</w:t>
        </w:r>
      </w:hyperlink>
    </w:p>
    <w:p>
      <w:pPr>
        <w:spacing w:after="0" w:line="31" w:lineRule="exact"/>
        <w:rPr>
          <w:sz w:val="20"/>
          <w:szCs w:val="20"/>
          <w:color w:val="auto"/>
        </w:rPr>
      </w:pPr>
    </w:p>
    <w:p>
      <w:pPr>
        <w:ind w:right="140"/>
        <w:spacing w:after="0" w:line="236" w:lineRule="auto"/>
        <w:rPr>
          <w:rFonts w:ascii="Times New Roman" w:cs="Times New Roman" w:eastAsia="Times New Roman" w:hAnsi="Times New Roman"/>
          <w:sz w:val="17"/>
          <w:szCs w:val="17"/>
          <w:u w:val="single" w:color="auto"/>
          <w:color w:val="0000FF"/>
        </w:rPr>
      </w:pPr>
      <w:hyperlink r:id="rId215">
        <w:r>
          <w:rPr>
            <w:rFonts w:ascii="Times New Roman" w:cs="Times New Roman" w:eastAsia="Times New Roman" w:hAnsi="Times New Roman"/>
            <w:sz w:val="17"/>
            <w:szCs w:val="17"/>
            <w:u w:val="single" w:color="auto"/>
            <w:color w:val="0000FF"/>
          </w:rPr>
          <w:t>Filed as Exhibit 10.1 to Old IAC’s Quarterly Report on</w:t>
        </w:r>
      </w:hyperlink>
      <w:r>
        <w:rPr>
          <w:rFonts w:ascii="Times New Roman" w:cs="Times New Roman" w:eastAsia="Times New Roman" w:hAnsi="Times New Roman"/>
          <w:sz w:val="17"/>
          <w:szCs w:val="17"/>
          <w:u w:val="single" w:color="auto"/>
          <w:color w:val="0000FF"/>
        </w:rPr>
        <w:t xml:space="preserve"> </w:t>
      </w:r>
      <w:hyperlink r:id="rId215">
        <w:r>
          <w:rPr>
            <w:rFonts w:ascii="Times New Roman" w:cs="Times New Roman" w:eastAsia="Times New Roman" w:hAnsi="Times New Roman"/>
            <w:sz w:val="17"/>
            <w:szCs w:val="17"/>
            <w:u w:val="single" w:color="auto"/>
            <w:color w:val="0000FF"/>
          </w:rPr>
          <w:t>Form 10-Q for the fiscal quarter ended September 30,</w:t>
        </w:r>
      </w:hyperlink>
    </w:p>
    <w:p>
      <w:pPr>
        <w:spacing w:after="0"/>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u w:val="single" w:color="auto"/>
            <w:color w:val="0000FF"/>
          </w:rPr>
          <w:t>2005</w:t>
        </w:r>
        <w:r>
          <w:rPr>
            <w:rFonts w:ascii="Times New Roman" w:cs="Times New Roman" w:eastAsia="Times New Roman" w:hAnsi="Times New Roman"/>
            <w:sz w:val="18"/>
            <w:szCs w:val="18"/>
            <w:color w:val="000000"/>
          </w:rPr>
          <w:t>.</w:t>
        </w:r>
      </w:hyperlink>
    </w:p>
    <w:p>
      <w:pPr>
        <w:spacing w:after="0" w:line="7" w:lineRule="exact"/>
        <w:rPr>
          <w:sz w:val="20"/>
          <w:szCs w:val="20"/>
          <w:color w:val="auto"/>
        </w:rPr>
      </w:pPr>
    </w:p>
    <w:p>
      <w:pPr>
        <w:ind w:right="280"/>
        <w:spacing w:after="0" w:line="234" w:lineRule="auto"/>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u w:val="single" w:color="auto"/>
            <w:color w:val="0000FF"/>
          </w:rPr>
          <w:t>Filed as Exhibit 10.1 to Old IAC’s Current Report on</w:t>
        </w:r>
      </w:hyperlink>
      <w:r>
        <w:rPr>
          <w:rFonts w:ascii="Times New Roman" w:cs="Times New Roman" w:eastAsia="Times New Roman" w:hAnsi="Times New Roman"/>
          <w:sz w:val="18"/>
          <w:szCs w:val="18"/>
          <w:u w:val="single" w:color="auto"/>
          <w:color w:val="0000FF"/>
        </w:rPr>
        <w:t xml:space="preserve"> </w:t>
      </w:r>
      <w:hyperlink r:id="rId216">
        <w:r>
          <w:rPr>
            <w:rFonts w:ascii="Times New Roman" w:cs="Times New Roman" w:eastAsia="Times New Roman" w:hAnsi="Times New Roman"/>
            <w:sz w:val="18"/>
            <w:szCs w:val="18"/>
            <w:u w:val="single" w:color="auto"/>
            <w:color w:val="0000FF"/>
          </w:rPr>
          <w:t>Form 8-K, filed on December 6, 2010</w:t>
        </w:r>
        <w:r>
          <w:rPr>
            <w:rFonts w:ascii="Times New Roman" w:cs="Times New Roman" w:eastAsia="Times New Roman" w:hAnsi="Times New Roman"/>
            <w:sz w:val="18"/>
            <w:szCs w:val="18"/>
            <w:color w:val="000000"/>
          </w:rPr>
          <w:t>.</w:t>
        </w:r>
      </w:hyperlink>
    </w:p>
    <w:p>
      <w:pPr>
        <w:spacing w:after="0" w:line="383" w:lineRule="exact"/>
        <w:rPr>
          <w:sz w:val="20"/>
          <w:szCs w:val="20"/>
          <w:color w:val="auto"/>
        </w:rPr>
      </w:pPr>
    </w:p>
    <w:p>
      <w:pPr>
        <w:sectPr>
          <w:pgSz w:w="11900" w:h="16838" w:orient="portrait"/>
          <w:cols w:equalWidth="0" w:num="2">
            <w:col w:w="6900" w:space="220"/>
            <w:col w:w="4100"/>
          </w:cols>
          <w:pgMar w:left="320" w:top="1035" w:right="359" w:bottom="1440" w:gutter="0" w:footer="0" w:header="0"/>
          <w:type w:val="continuous"/>
        </w:sect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type w:val="continuous"/>
        </w:sectPr>
      </w:pPr>
    </w:p>
    <w:bookmarkStart w:id="165" w:name="page166"/>
    <w:bookmarkEnd w:id="165"/>
    <w:p>
      <w:pPr>
        <w:ind w:left="540" w:right="1120" w:hanging="458"/>
        <w:spacing w:after="0" w:line="237" w:lineRule="auto"/>
        <w:tabs>
          <w:tab w:leader="none" w:pos="520" w:val="left"/>
        </w:tabs>
        <w:rPr>
          <w:sz w:val="20"/>
          <w:szCs w:val="20"/>
          <w:color w:val="auto"/>
        </w:rPr>
      </w:pPr>
      <w:r>
        <w:rPr>
          <w:rFonts w:ascii="Times New Roman" w:cs="Times New Roman" w:eastAsia="Times New Roman" w:hAnsi="Times New Roman"/>
          <w:sz w:val="18"/>
          <w:szCs w:val="18"/>
          <w:color w:val="auto"/>
        </w:rPr>
        <w:t>10.3</w:t>
        <w:tab/>
        <w:t>Letter Agreement, dated as of December 1, 2010, by and between IAC/InterActiveCorp and Barry Diller.</w:t>
      </w:r>
    </w:p>
    <w:p>
      <w:pPr>
        <w:spacing w:after="0" w:line="10" w:lineRule="exact"/>
        <w:rPr>
          <w:sz w:val="20"/>
          <w:szCs w:val="20"/>
          <w:color w:val="auto"/>
        </w:rPr>
      </w:pPr>
    </w:p>
    <w:p>
      <w:pPr>
        <w:ind w:left="540" w:right="240" w:hanging="458"/>
        <w:spacing w:after="0" w:line="226" w:lineRule="auto"/>
        <w:tabs>
          <w:tab w:leader="none" w:pos="520" w:val="left"/>
        </w:tabs>
        <w:rPr>
          <w:sz w:val="20"/>
          <w:szCs w:val="20"/>
          <w:color w:val="auto"/>
        </w:rPr>
      </w:pPr>
      <w:r>
        <w:rPr>
          <w:rFonts w:ascii="Times New Roman" w:cs="Times New Roman" w:eastAsia="Times New Roman" w:hAnsi="Times New Roman"/>
          <w:sz w:val="18"/>
          <w:szCs w:val="18"/>
          <w:color w:val="auto"/>
        </w:rPr>
        <w:t>10.4</w:t>
        <w:tab/>
        <w:t>Credit Agreement, dated as of December 1, 2021, by and among Dotdash Meredith, Inc., as Borrower, the lenders party thereto, JPMorgan Chase Bank, N.A., as administrative agent, and the other parties thereto.</w:t>
      </w:r>
    </w:p>
    <w:p>
      <w:pPr>
        <w:spacing w:after="0" w:line="9" w:lineRule="exact"/>
        <w:rPr>
          <w:sz w:val="20"/>
          <w:szCs w:val="20"/>
          <w:color w:val="auto"/>
        </w:rPr>
      </w:pPr>
    </w:p>
    <w:p>
      <w:pPr>
        <w:jc w:val="both"/>
        <w:ind w:left="540" w:right="20" w:hanging="458"/>
        <w:spacing w:after="0" w:line="239" w:lineRule="auto"/>
        <w:tabs>
          <w:tab w:leader="none" w:pos="520" w:val="left"/>
        </w:tabs>
        <w:rPr>
          <w:sz w:val="20"/>
          <w:szCs w:val="20"/>
          <w:color w:val="auto"/>
        </w:rPr>
      </w:pPr>
      <w:r>
        <w:rPr>
          <w:rFonts w:ascii="Times New Roman" w:cs="Times New Roman" w:eastAsia="Times New Roman" w:hAnsi="Times New Roman"/>
          <w:sz w:val="18"/>
          <w:szCs w:val="18"/>
          <w:color w:val="auto"/>
        </w:rPr>
        <w:t>10.5</w:t>
      </w:r>
      <w:r>
        <w:rPr>
          <w:sz w:val="20"/>
          <w:szCs w:val="20"/>
          <w:color w:val="auto"/>
        </w:rPr>
        <w:tab/>
      </w:r>
      <w:r>
        <w:rPr>
          <w:rFonts w:ascii="Times New Roman" w:cs="Times New Roman" w:eastAsia="Times New Roman" w:hAnsi="Times New Roman"/>
          <w:sz w:val="17"/>
          <w:szCs w:val="17"/>
          <w:color w:val="auto"/>
        </w:rPr>
        <w:t>Amendment No. 1 to Credit Agreement, dated as of November 26, 2024, by and among Dotdash Meredith, Inc., as Borrower, the lenders party thereto, JPMorgan Chase Bank, N.A., as administrative agent, and the other parties thereto.</w:t>
      </w:r>
    </w:p>
    <w:p>
      <w:pPr>
        <w:spacing w:after="0" w:line="10" w:lineRule="exact"/>
        <w:rPr>
          <w:sz w:val="20"/>
          <w:szCs w:val="20"/>
          <w:color w:val="auto"/>
        </w:rPr>
      </w:pPr>
    </w:p>
    <w:p>
      <w:pPr>
        <w:ind w:left="80"/>
        <w:spacing w:after="0"/>
        <w:tabs>
          <w:tab w:leader="none" w:pos="520" w:val="left"/>
        </w:tabs>
        <w:rPr>
          <w:sz w:val="20"/>
          <w:szCs w:val="20"/>
          <w:color w:val="auto"/>
        </w:rPr>
      </w:pPr>
      <w:r>
        <w:rPr>
          <w:rFonts w:ascii="Times New Roman" w:cs="Times New Roman" w:eastAsia="Times New Roman" w:hAnsi="Times New Roman"/>
          <w:sz w:val="18"/>
          <w:szCs w:val="18"/>
          <w:color w:val="auto"/>
        </w:rPr>
        <w:t>10.6</w:t>
        <w:tab/>
        <w:t>IAC/InterActiveCorp 2018 Stock and Annual Incentive Plan.(2)</w:t>
      </w:r>
    </w:p>
    <w:p>
      <w:pPr>
        <w:spacing w:after="0" w:line="212" w:lineRule="exact"/>
        <w:rPr>
          <w:sz w:val="20"/>
          <w:szCs w:val="20"/>
          <w:color w:val="auto"/>
        </w:rPr>
      </w:pPr>
    </w:p>
    <w:p>
      <w:pPr>
        <w:ind w:left="540" w:right="160" w:hanging="458"/>
        <w:spacing w:after="0" w:line="237" w:lineRule="auto"/>
        <w:tabs>
          <w:tab w:leader="none" w:pos="520" w:val="left"/>
        </w:tabs>
        <w:rPr>
          <w:sz w:val="20"/>
          <w:szCs w:val="20"/>
          <w:color w:val="auto"/>
        </w:rPr>
      </w:pPr>
      <w:r>
        <w:rPr>
          <w:rFonts w:ascii="Times New Roman" w:cs="Times New Roman" w:eastAsia="Times New Roman" w:hAnsi="Times New Roman"/>
          <w:sz w:val="18"/>
          <w:szCs w:val="18"/>
          <w:color w:val="auto"/>
        </w:rPr>
        <w:t>10.7</w:t>
        <w:tab/>
        <w:t>Form of Notice and Terms and Conditions for 2020 Five-Year Restricted Stock Unit Awards.(2)</w:t>
      </w:r>
    </w:p>
    <w:p>
      <w:pPr>
        <w:spacing w:after="0" w:line="185" w:lineRule="exact"/>
        <w:rPr>
          <w:sz w:val="20"/>
          <w:szCs w:val="20"/>
          <w:color w:val="auto"/>
        </w:rPr>
      </w:pPr>
    </w:p>
    <w:p>
      <w:pPr>
        <w:ind w:left="540" w:right="220" w:hanging="458"/>
        <w:spacing w:after="0" w:line="237" w:lineRule="auto"/>
        <w:tabs>
          <w:tab w:leader="none" w:pos="520" w:val="left"/>
        </w:tabs>
        <w:rPr>
          <w:sz w:val="20"/>
          <w:szCs w:val="20"/>
          <w:color w:val="auto"/>
        </w:rPr>
      </w:pPr>
      <w:r>
        <w:rPr>
          <w:rFonts w:ascii="Times New Roman" w:cs="Times New Roman" w:eastAsia="Times New Roman" w:hAnsi="Times New Roman"/>
          <w:sz w:val="18"/>
          <w:szCs w:val="18"/>
          <w:u w:val="single" w:color="auto"/>
          <w:color w:val="0000FF"/>
        </w:rPr>
        <w:t>10.8</w:t>
      </w:r>
      <w:r>
        <w:rPr>
          <w:sz w:val="20"/>
          <w:szCs w:val="20"/>
          <w:color w:val="auto"/>
        </w:rPr>
        <w:tab/>
      </w:r>
      <w:r>
        <w:rPr>
          <w:rFonts w:ascii="Times New Roman" w:cs="Times New Roman" w:eastAsia="Times New Roman" w:hAnsi="Times New Roman"/>
          <w:sz w:val="18"/>
          <w:szCs w:val="18"/>
          <w:color w:val="auto"/>
        </w:rPr>
        <w:t>Form of Notice and Terms and Conditions for 2023, 2024 and 2025 Restricted Stock Units.(2)(3)</w:t>
      </w:r>
    </w:p>
    <w:p>
      <w:pPr>
        <w:spacing w:after="0" w:line="10" w:lineRule="exact"/>
        <w:rPr>
          <w:sz w:val="20"/>
          <w:szCs w:val="20"/>
          <w:color w:val="auto"/>
        </w:rPr>
      </w:pPr>
    </w:p>
    <w:p>
      <w:pPr>
        <w:ind w:left="80"/>
        <w:spacing w:after="0"/>
        <w:tabs>
          <w:tab w:leader="none" w:pos="520" w:val="left"/>
        </w:tabs>
        <w:rPr>
          <w:sz w:val="20"/>
          <w:szCs w:val="20"/>
          <w:color w:val="auto"/>
        </w:rPr>
      </w:pPr>
      <w:r>
        <w:rPr>
          <w:rFonts w:ascii="Times New Roman" w:cs="Times New Roman" w:eastAsia="Times New Roman" w:hAnsi="Times New Roman"/>
          <w:sz w:val="18"/>
          <w:szCs w:val="18"/>
          <w:color w:val="auto"/>
        </w:rPr>
        <w:t>10.9</w:t>
        <w:tab/>
        <w:t>IAC/InterActiveCorp 2013 Stock and Annual Incentive Plan.(2)</w:t>
      </w:r>
    </w:p>
    <w:p>
      <w:pPr>
        <w:spacing w:after="0" w:line="212" w:lineRule="exact"/>
        <w:rPr>
          <w:sz w:val="20"/>
          <w:szCs w:val="20"/>
          <w:color w:val="auto"/>
        </w:rPr>
      </w:pPr>
    </w:p>
    <w:p>
      <w:pPr>
        <w:ind w:left="540" w:right="1000" w:hanging="548"/>
        <w:spacing w:after="0" w:line="256" w:lineRule="auto"/>
        <w:tabs>
          <w:tab w:leader="none" w:pos="520" w:val="left"/>
        </w:tabs>
        <w:rPr>
          <w:sz w:val="20"/>
          <w:szCs w:val="20"/>
          <w:color w:val="auto"/>
        </w:rPr>
      </w:pPr>
      <w:r>
        <w:rPr>
          <w:rFonts w:ascii="Times New Roman" w:cs="Times New Roman" w:eastAsia="Times New Roman" w:hAnsi="Times New Roman"/>
          <w:sz w:val="18"/>
          <w:szCs w:val="18"/>
          <w:color w:val="auto"/>
        </w:rPr>
        <w:t>10.10</w:t>
      </w:r>
      <w:r>
        <w:rPr>
          <w:sz w:val="20"/>
          <w:szCs w:val="20"/>
          <w:color w:val="auto"/>
        </w:rPr>
        <w:tab/>
      </w:r>
      <w:r>
        <w:rPr>
          <w:rFonts w:ascii="Times New Roman" w:cs="Times New Roman" w:eastAsia="Times New Roman" w:hAnsi="Times New Roman"/>
          <w:sz w:val="17"/>
          <w:szCs w:val="17"/>
          <w:color w:val="auto"/>
        </w:rPr>
        <w:t>Form of Terms and Conditions for Stock Options granted under the IAC/InterActiveCorp 2013 Stock and Annual Incentive Plan.(2)</w:t>
      </w:r>
    </w:p>
    <w:p>
      <w:pPr>
        <w:spacing w:after="0" w:line="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10.11</w:t>
        <w:tab/>
        <w:t>IAC/InterActiveCorp 2008 Stock and Annual Incentive Plan.(2)</w:t>
      </w:r>
    </w:p>
    <w:p>
      <w:pPr>
        <w:spacing w:after="0" w:line="212" w:lineRule="exact"/>
        <w:rPr>
          <w:sz w:val="20"/>
          <w:szCs w:val="20"/>
          <w:color w:val="auto"/>
        </w:rPr>
      </w:pPr>
    </w:p>
    <w:p>
      <w:pPr>
        <w:ind w:left="540" w:right="1000" w:hanging="548"/>
        <w:spacing w:after="0" w:line="256" w:lineRule="auto"/>
        <w:tabs>
          <w:tab w:leader="none" w:pos="520" w:val="left"/>
        </w:tabs>
        <w:rPr>
          <w:sz w:val="20"/>
          <w:szCs w:val="20"/>
          <w:color w:val="auto"/>
        </w:rPr>
      </w:pPr>
      <w:r>
        <w:rPr>
          <w:rFonts w:ascii="Times New Roman" w:cs="Times New Roman" w:eastAsia="Times New Roman" w:hAnsi="Times New Roman"/>
          <w:sz w:val="18"/>
          <w:szCs w:val="18"/>
          <w:color w:val="auto"/>
        </w:rPr>
        <w:t>10.12</w:t>
      </w:r>
      <w:r>
        <w:rPr>
          <w:sz w:val="20"/>
          <w:szCs w:val="20"/>
          <w:color w:val="auto"/>
        </w:rPr>
        <w:tab/>
      </w:r>
      <w:r>
        <w:rPr>
          <w:rFonts w:ascii="Times New Roman" w:cs="Times New Roman" w:eastAsia="Times New Roman" w:hAnsi="Times New Roman"/>
          <w:sz w:val="17"/>
          <w:szCs w:val="17"/>
          <w:color w:val="auto"/>
        </w:rPr>
        <w:t>Form of Terms and Conditions for Stock Options granted under the IAC/InterActiveCorp 2008 Stock and Annual Incentive Plan.(2)</w:t>
      </w:r>
    </w:p>
    <w:p>
      <w:pPr>
        <w:spacing w:after="0" w:line="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10.13</w:t>
        <w:tab/>
        <w:t>Summary of Non-Employee Director Compensation Arrangements.(2)</w:t>
      </w:r>
    </w:p>
    <w:p>
      <w:pPr>
        <w:spacing w:after="0" w:line="387" w:lineRule="exact"/>
        <w:rPr>
          <w:sz w:val="20"/>
          <w:szCs w:val="20"/>
          <w:color w:val="auto"/>
        </w:rPr>
      </w:pPr>
    </w:p>
    <w:p>
      <w:pPr>
        <w:ind w:left="540" w:right="380" w:hanging="548"/>
        <w:spacing w:after="0" w:line="237" w:lineRule="auto"/>
        <w:tabs>
          <w:tab w:leader="none" w:pos="520" w:val="left"/>
        </w:tabs>
        <w:rPr>
          <w:sz w:val="20"/>
          <w:szCs w:val="20"/>
          <w:color w:val="auto"/>
        </w:rPr>
      </w:pPr>
      <w:r>
        <w:rPr>
          <w:rFonts w:ascii="Times New Roman" w:cs="Times New Roman" w:eastAsia="Times New Roman" w:hAnsi="Times New Roman"/>
          <w:sz w:val="18"/>
          <w:szCs w:val="18"/>
          <w:color w:val="auto"/>
        </w:rPr>
        <w:t>10.14</w:t>
        <w:tab/>
        <w:t>2011 IAC/InterActiveCorp Deferred Compensation Plan for Non-Employee Directors.(2)</w:t>
      </w:r>
    </w:p>
    <w:p>
      <w:pPr>
        <w:spacing w:after="0" w:line="266" w:lineRule="exact"/>
        <w:rPr>
          <w:sz w:val="20"/>
          <w:szCs w:val="20"/>
          <w:color w:val="auto"/>
        </w:rPr>
      </w:pPr>
    </w:p>
    <w:p>
      <w:pPr>
        <w:ind w:left="540" w:right="340" w:hanging="548"/>
        <w:spacing w:after="0" w:line="237" w:lineRule="auto"/>
        <w:tabs>
          <w:tab w:leader="none" w:pos="520" w:val="left"/>
        </w:tabs>
        <w:rPr>
          <w:sz w:val="20"/>
          <w:szCs w:val="20"/>
          <w:color w:val="auto"/>
        </w:rPr>
      </w:pPr>
      <w:r>
        <w:rPr>
          <w:rFonts w:ascii="Times New Roman" w:cs="Times New Roman" w:eastAsia="Times New Roman" w:hAnsi="Times New Roman"/>
          <w:sz w:val="18"/>
          <w:szCs w:val="18"/>
          <w:color w:val="auto"/>
        </w:rPr>
        <w:t>10.15</w:t>
        <w:tab/>
        <w:t>Equity and Bonus Compensation Arrangement, dated as of August 24, 1995, between Barry Diller and the Registrant.(2)</w:t>
      </w:r>
    </w:p>
    <w:p>
      <w:pPr>
        <w:spacing w:after="0" w:line="10" w:lineRule="exact"/>
        <w:rPr>
          <w:sz w:val="20"/>
          <w:szCs w:val="20"/>
          <w:color w:val="auto"/>
        </w:rPr>
      </w:pPr>
    </w:p>
    <w:p>
      <w:pPr>
        <w:ind w:left="540" w:hanging="548"/>
        <w:spacing w:after="0" w:line="237" w:lineRule="auto"/>
        <w:tabs>
          <w:tab w:leader="none" w:pos="520" w:val="left"/>
        </w:tabs>
        <w:rPr>
          <w:sz w:val="20"/>
          <w:szCs w:val="20"/>
          <w:color w:val="auto"/>
        </w:rPr>
      </w:pPr>
      <w:r>
        <w:rPr>
          <w:rFonts w:ascii="Times New Roman" w:cs="Times New Roman" w:eastAsia="Times New Roman" w:hAnsi="Times New Roman"/>
          <w:sz w:val="18"/>
          <w:szCs w:val="18"/>
          <w:color w:val="auto"/>
        </w:rPr>
        <w:t>10.16</w:t>
        <w:tab/>
        <w:t>Employment Transition Agreement between Joseph Levin and IAC Inc., dated as of January 13, 2025. (2)</w:t>
      </w:r>
    </w:p>
    <w:p>
      <w:pPr>
        <w:spacing w:after="0" w:line="10" w:lineRule="exact"/>
        <w:rPr>
          <w:sz w:val="20"/>
          <w:szCs w:val="20"/>
          <w:color w:val="auto"/>
        </w:rPr>
      </w:pPr>
    </w:p>
    <w:p>
      <w:pPr>
        <w:jc w:val="center"/>
        <w:ind w:right="440"/>
        <w:spacing w:after="0" w:line="237" w:lineRule="auto"/>
        <w:rPr>
          <w:sz w:val="20"/>
          <w:szCs w:val="20"/>
          <w:color w:val="auto"/>
        </w:rPr>
      </w:pPr>
      <w:r>
        <w:rPr>
          <w:rFonts w:ascii="Times New Roman" w:cs="Times New Roman" w:eastAsia="Times New Roman" w:hAnsi="Times New Roman"/>
          <w:sz w:val="18"/>
          <w:szCs w:val="18"/>
          <w:color w:val="auto"/>
        </w:rPr>
        <w:t>10.17  Second Amended and Restated Employment Agreement between Victor A. Kaufman and IAC/InterActiveCorp, dated as of March 15, 2012.(2)</w:t>
      </w:r>
    </w:p>
    <w:p>
      <w:pPr>
        <w:spacing w:after="0" w:line="10" w:lineRule="exact"/>
        <w:rPr>
          <w:sz w:val="20"/>
          <w:szCs w:val="20"/>
          <w:color w:val="auto"/>
        </w:rPr>
      </w:pPr>
    </w:p>
    <w:p>
      <w:pPr>
        <w:ind w:left="540" w:right="1700" w:hanging="548"/>
        <w:spacing w:after="0" w:line="237" w:lineRule="auto"/>
        <w:tabs>
          <w:tab w:leader="none" w:pos="520" w:val="left"/>
        </w:tabs>
        <w:rPr>
          <w:sz w:val="20"/>
          <w:szCs w:val="20"/>
          <w:color w:val="auto"/>
        </w:rPr>
      </w:pPr>
      <w:r>
        <w:rPr>
          <w:rFonts w:ascii="Times New Roman" w:cs="Times New Roman" w:eastAsia="Times New Roman" w:hAnsi="Times New Roman"/>
          <w:sz w:val="18"/>
          <w:szCs w:val="18"/>
          <w:color w:val="auto"/>
        </w:rPr>
        <w:t>10.18</w:t>
        <w:tab/>
        <w:t>Employment Agreement between Christopher Halpin and IAC/InterActiveCorp, dated as of January 4, 2022.(2)</w:t>
      </w:r>
    </w:p>
    <w:p>
      <w:pPr>
        <w:spacing w:after="0" w:line="185" w:lineRule="exact"/>
        <w:rPr>
          <w:sz w:val="20"/>
          <w:szCs w:val="20"/>
          <w:color w:val="auto"/>
        </w:rPr>
      </w:pPr>
    </w:p>
    <w:p>
      <w:pPr>
        <w:ind w:left="540" w:right="260" w:hanging="548"/>
        <w:spacing w:after="0" w:line="237" w:lineRule="auto"/>
        <w:tabs>
          <w:tab w:leader="none" w:pos="520" w:val="left"/>
        </w:tabs>
        <w:rPr>
          <w:sz w:val="20"/>
          <w:szCs w:val="20"/>
          <w:color w:val="auto"/>
        </w:rPr>
      </w:pPr>
      <w:r>
        <w:rPr>
          <w:rFonts w:ascii="Times New Roman" w:cs="Times New Roman" w:eastAsia="Times New Roman" w:hAnsi="Times New Roman"/>
          <w:sz w:val="18"/>
          <w:szCs w:val="18"/>
          <w:color w:val="auto"/>
        </w:rPr>
        <w:t>10.19</w:t>
        <w:tab/>
        <w:t>Employment Agreement between Kendall Handler and IAC/InterActiveCorp, dated as of December 31, 2020.(2)</w:t>
      </w:r>
    </w:p>
    <w:p>
      <w:pPr>
        <w:spacing w:after="0" w:line="185" w:lineRule="exact"/>
        <w:rPr>
          <w:sz w:val="20"/>
          <w:szCs w:val="20"/>
          <w:color w:val="auto"/>
        </w:rPr>
      </w:pPr>
    </w:p>
    <w:p>
      <w:pPr>
        <w:ind w:left="540" w:right="960" w:hanging="548"/>
        <w:spacing w:after="0" w:line="237" w:lineRule="auto"/>
        <w:tabs>
          <w:tab w:leader="none" w:pos="520" w:val="left"/>
        </w:tabs>
        <w:rPr>
          <w:sz w:val="20"/>
          <w:szCs w:val="20"/>
          <w:color w:val="auto"/>
        </w:rPr>
      </w:pPr>
      <w:r>
        <w:rPr>
          <w:rFonts w:ascii="Times New Roman" w:cs="Times New Roman" w:eastAsia="Times New Roman" w:hAnsi="Times New Roman"/>
          <w:sz w:val="18"/>
          <w:szCs w:val="18"/>
          <w:color w:val="auto"/>
        </w:rPr>
        <w:t>10.20</w:t>
        <w:tab/>
        <w:t>Google Services Agreement, dated as of October 26, 2015, between IAC/InterActiveCorp and Google Inc.(4)</w:t>
      </w:r>
    </w:p>
    <w:p>
      <w:pPr>
        <w:spacing w:after="0" w:line="20" w:lineRule="exact"/>
        <w:rPr>
          <w:sz w:val="20"/>
          <w:szCs w:val="20"/>
          <w:color w:val="auto"/>
        </w:rPr>
      </w:pPr>
      <w:r>
        <w:rPr>
          <w:sz w:val="20"/>
          <w:szCs w:val="20"/>
          <w:color w:val="auto"/>
        </w:rPr>
        <w:br w:type="column"/>
      </w:r>
    </w:p>
    <w:p>
      <w:pPr>
        <w:ind w:right="260"/>
        <w:spacing w:after="0" w:line="237" w:lineRule="auto"/>
        <w:rPr>
          <w:rFonts w:ascii="Times New Roman" w:cs="Times New Roman" w:eastAsia="Times New Roman" w:hAnsi="Times New Roman"/>
          <w:sz w:val="18"/>
          <w:szCs w:val="18"/>
          <w:color w:val="0000FF"/>
        </w:rPr>
      </w:pPr>
      <w:hyperlink r:id="rId218">
        <w:r>
          <w:rPr>
            <w:rFonts w:ascii="Times New Roman" w:cs="Times New Roman" w:eastAsia="Times New Roman" w:hAnsi="Times New Roman"/>
            <w:sz w:val="18"/>
            <w:szCs w:val="18"/>
            <w:u w:val="single" w:color="auto"/>
            <w:color w:val="0000FF"/>
          </w:rPr>
          <w:t>Filed as Exhibit 10.2 to Old IAC’s Current Report on</w:t>
        </w:r>
      </w:hyperlink>
      <w:r>
        <w:rPr>
          <w:rFonts w:ascii="Times New Roman" w:cs="Times New Roman" w:eastAsia="Times New Roman" w:hAnsi="Times New Roman"/>
          <w:sz w:val="18"/>
          <w:szCs w:val="18"/>
          <w:u w:val="single" w:color="auto"/>
          <w:color w:val="0000FF"/>
        </w:rPr>
        <w:t xml:space="preserve"> </w:t>
      </w:r>
      <w:hyperlink r:id="rId218">
        <w:r>
          <w:rPr>
            <w:rFonts w:ascii="Times New Roman" w:cs="Times New Roman" w:eastAsia="Times New Roman" w:hAnsi="Times New Roman"/>
            <w:sz w:val="18"/>
            <w:szCs w:val="18"/>
            <w:u w:val="single" w:color="auto"/>
            <w:color w:val="0000FF"/>
          </w:rPr>
          <w:t>Form 8-K, filed on December 6, 2010</w:t>
        </w:r>
        <w:r>
          <w:rPr>
            <w:rFonts w:ascii="Times New Roman" w:cs="Times New Roman" w:eastAsia="Times New Roman" w:hAnsi="Times New Roman"/>
            <w:sz w:val="18"/>
            <w:szCs w:val="18"/>
            <w:color w:val="000000"/>
          </w:rPr>
          <w:t>.</w:t>
        </w:r>
      </w:hyperlink>
    </w:p>
    <w:p>
      <w:pPr>
        <w:spacing w:after="0" w:line="10" w:lineRule="exact"/>
        <w:rPr>
          <w:sz w:val="20"/>
          <w:szCs w:val="20"/>
          <w:color w:val="auto"/>
        </w:rPr>
      </w:pPr>
    </w:p>
    <w:p>
      <w:pPr>
        <w:ind w:right="120"/>
        <w:spacing w:after="0" w:line="263" w:lineRule="auto"/>
        <w:rPr>
          <w:rFonts w:ascii="Times New Roman" w:cs="Times New Roman" w:eastAsia="Times New Roman" w:hAnsi="Times New Roman"/>
          <w:sz w:val="17"/>
          <w:szCs w:val="17"/>
          <w:color w:val="0000FF"/>
        </w:rPr>
      </w:pPr>
      <w:hyperlink r:id="rId219">
        <w:r>
          <w:rPr>
            <w:rFonts w:ascii="Times New Roman" w:cs="Times New Roman" w:eastAsia="Times New Roman" w:hAnsi="Times New Roman"/>
            <w:sz w:val="17"/>
            <w:szCs w:val="17"/>
            <w:u w:val="single" w:color="auto"/>
            <w:color w:val="0000FF"/>
          </w:rPr>
          <w:t>Filed as Exhibit 10.1 to IAC/InterActiveCorp's Current</w:t>
        </w:r>
      </w:hyperlink>
      <w:r>
        <w:rPr>
          <w:rFonts w:ascii="Times New Roman" w:cs="Times New Roman" w:eastAsia="Times New Roman" w:hAnsi="Times New Roman"/>
          <w:sz w:val="17"/>
          <w:szCs w:val="17"/>
          <w:u w:val="single" w:color="auto"/>
          <w:color w:val="0000FF"/>
        </w:rPr>
        <w:t xml:space="preserve"> </w:t>
      </w:r>
      <w:hyperlink r:id="rId219">
        <w:r>
          <w:rPr>
            <w:rFonts w:ascii="Times New Roman" w:cs="Times New Roman" w:eastAsia="Times New Roman" w:hAnsi="Times New Roman"/>
            <w:sz w:val="17"/>
            <w:szCs w:val="17"/>
            <w:u w:val="single" w:color="auto"/>
            <w:color w:val="0000FF"/>
          </w:rPr>
          <w:t>Report on Form 8-K, filed on December 1, 2021</w:t>
        </w:r>
        <w:r>
          <w:rPr>
            <w:rFonts w:ascii="Times New Roman" w:cs="Times New Roman" w:eastAsia="Times New Roman" w:hAnsi="Times New Roman"/>
            <w:sz w:val="17"/>
            <w:szCs w:val="17"/>
            <w:color w:val="000000"/>
          </w:rPr>
          <w:t>.</w:t>
        </w:r>
      </w:hyperlink>
    </w:p>
    <w:p>
      <w:pPr>
        <w:spacing w:after="0" w:line="166" w:lineRule="exact"/>
        <w:rPr>
          <w:sz w:val="20"/>
          <w:szCs w:val="20"/>
          <w:color w:val="auto"/>
        </w:rPr>
      </w:pPr>
    </w:p>
    <w:p>
      <w:pPr>
        <w:ind w:right="160"/>
        <w:spacing w:after="0" w:line="237" w:lineRule="auto"/>
        <w:rPr>
          <w:rFonts w:ascii="Times New Roman" w:cs="Times New Roman" w:eastAsia="Times New Roman" w:hAnsi="Times New Roman"/>
          <w:sz w:val="18"/>
          <w:szCs w:val="18"/>
          <w:color w:val="0000FF"/>
        </w:rPr>
      </w:pPr>
      <w:hyperlink r:id="rId220">
        <w:r>
          <w:rPr>
            <w:rFonts w:ascii="Times New Roman" w:cs="Times New Roman" w:eastAsia="Times New Roman" w:hAnsi="Times New Roman"/>
            <w:sz w:val="18"/>
            <w:szCs w:val="18"/>
            <w:u w:val="single" w:color="auto"/>
            <w:color w:val="0000FF"/>
          </w:rPr>
          <w:t>Filed as Exhibit 10.1 to IAC's Current Report on Form</w:t>
        </w:r>
      </w:hyperlink>
      <w:r>
        <w:rPr>
          <w:rFonts w:ascii="Times New Roman" w:cs="Times New Roman" w:eastAsia="Times New Roman" w:hAnsi="Times New Roman"/>
          <w:sz w:val="18"/>
          <w:szCs w:val="18"/>
          <w:u w:val="single" w:color="auto"/>
          <w:color w:val="0000FF"/>
        </w:rPr>
        <w:t xml:space="preserve"> </w:t>
      </w:r>
      <w:hyperlink r:id="rId220">
        <w:r>
          <w:rPr>
            <w:rFonts w:ascii="Times New Roman" w:cs="Times New Roman" w:eastAsia="Times New Roman" w:hAnsi="Times New Roman"/>
            <w:sz w:val="18"/>
            <w:szCs w:val="18"/>
            <w:u w:val="single" w:color="auto"/>
            <w:color w:val="0000FF"/>
          </w:rPr>
          <w:t>8-K, filed on November 26, 2024</w:t>
        </w:r>
        <w:r>
          <w:rPr>
            <w:rFonts w:ascii="Times New Roman" w:cs="Times New Roman" w:eastAsia="Times New Roman" w:hAnsi="Times New Roman"/>
            <w:sz w:val="18"/>
            <w:szCs w:val="18"/>
            <w:color w:val="000000"/>
          </w:rPr>
          <w:t>.</w:t>
        </w:r>
      </w:hyperlink>
    </w:p>
    <w:p>
      <w:pPr>
        <w:spacing w:after="0" w:line="185" w:lineRule="exact"/>
        <w:rPr>
          <w:sz w:val="20"/>
          <w:szCs w:val="20"/>
          <w:color w:val="auto"/>
        </w:rPr>
      </w:pPr>
    </w:p>
    <w:p>
      <w:pPr>
        <w:ind w:right="260"/>
        <w:spacing w:after="0" w:line="237" w:lineRule="auto"/>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u w:val="single" w:color="auto"/>
            <w:color w:val="0000FF"/>
          </w:rPr>
          <w:t>Filed as Exhibit 10.1 to Old IAC’s Current Report on</w:t>
        </w:r>
      </w:hyperlink>
      <w:r>
        <w:rPr>
          <w:rFonts w:ascii="Times New Roman" w:cs="Times New Roman" w:eastAsia="Times New Roman" w:hAnsi="Times New Roman"/>
          <w:sz w:val="18"/>
          <w:szCs w:val="18"/>
          <w:u w:val="single" w:color="auto"/>
          <w:color w:val="0000FF"/>
        </w:rPr>
        <w:t xml:space="preserve"> </w:t>
      </w:r>
      <w:hyperlink r:id="rId221">
        <w:r>
          <w:rPr>
            <w:rFonts w:ascii="Times New Roman" w:cs="Times New Roman" w:eastAsia="Times New Roman" w:hAnsi="Times New Roman"/>
            <w:sz w:val="18"/>
            <w:szCs w:val="18"/>
            <w:u w:val="single" w:color="auto"/>
            <w:color w:val="0000FF"/>
          </w:rPr>
          <w:t>Form 8-K, filed on June 29, 2018</w:t>
        </w:r>
        <w:r>
          <w:rPr>
            <w:rFonts w:ascii="Times New Roman" w:cs="Times New Roman" w:eastAsia="Times New Roman" w:hAnsi="Times New Roman"/>
            <w:sz w:val="18"/>
            <w:szCs w:val="18"/>
            <w:color w:val="000000"/>
          </w:rPr>
          <w:t>.</w:t>
        </w:r>
      </w:hyperlink>
    </w:p>
    <w:p>
      <w:pPr>
        <w:spacing w:after="0" w:line="10" w:lineRule="exact"/>
        <w:rPr>
          <w:sz w:val="20"/>
          <w:szCs w:val="20"/>
          <w:color w:val="auto"/>
        </w:rPr>
      </w:pPr>
    </w:p>
    <w:p>
      <w:pPr>
        <w:ind w:right="140"/>
        <w:spacing w:after="0" w:line="226" w:lineRule="auto"/>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u w:val="single" w:color="auto"/>
            <w:color w:val="0000FF"/>
          </w:rPr>
          <w:t>Filed as Exhibit 10.7 to IAC/InterActiveCorp's Annual</w:t>
        </w:r>
      </w:hyperlink>
      <w:r>
        <w:rPr>
          <w:rFonts w:ascii="Times New Roman" w:cs="Times New Roman" w:eastAsia="Times New Roman" w:hAnsi="Times New Roman"/>
          <w:sz w:val="18"/>
          <w:szCs w:val="18"/>
          <w:u w:val="single" w:color="auto"/>
          <w:color w:val="0000FF"/>
        </w:rPr>
        <w:t xml:space="preserve"> </w:t>
      </w:r>
      <w:hyperlink r:id="rId222">
        <w:r>
          <w:rPr>
            <w:rFonts w:ascii="Times New Roman" w:cs="Times New Roman" w:eastAsia="Times New Roman" w:hAnsi="Times New Roman"/>
            <w:sz w:val="18"/>
            <w:szCs w:val="18"/>
            <w:u w:val="single" w:color="auto"/>
            <w:color w:val="0000FF"/>
          </w:rPr>
          <w:t>Report on Form 10-K for the fiscal year ended</w:t>
        </w:r>
      </w:hyperlink>
      <w:r>
        <w:rPr>
          <w:rFonts w:ascii="Times New Roman" w:cs="Times New Roman" w:eastAsia="Times New Roman" w:hAnsi="Times New Roman"/>
          <w:sz w:val="18"/>
          <w:szCs w:val="18"/>
          <w:u w:val="single" w:color="auto"/>
          <w:color w:val="0000FF"/>
        </w:rPr>
        <w:t xml:space="preserve"> </w:t>
      </w:r>
      <w:hyperlink r:id="rId222">
        <w:r>
          <w:rPr>
            <w:rFonts w:ascii="Times New Roman" w:cs="Times New Roman" w:eastAsia="Times New Roman" w:hAnsi="Times New Roman"/>
            <w:sz w:val="18"/>
            <w:szCs w:val="18"/>
            <w:u w:val="single" w:color="auto"/>
            <w:color w:val="0000FF"/>
          </w:rPr>
          <w:t>December 31, 2020</w:t>
        </w:r>
        <w:r>
          <w:rPr>
            <w:rFonts w:ascii="Times New Roman" w:cs="Times New Roman" w:eastAsia="Times New Roman" w:hAnsi="Times New Roman"/>
            <w:sz w:val="18"/>
            <w:szCs w:val="18"/>
            <w:color w:val="000000"/>
          </w:rPr>
          <w:t>.</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28" w:lineRule="exact"/>
        <w:rPr>
          <w:rFonts w:ascii="Times New Roman" w:cs="Times New Roman" w:eastAsia="Times New Roman" w:hAnsi="Times New Roman"/>
          <w:sz w:val="18"/>
          <w:szCs w:val="18"/>
          <w:u w:val="single" w:color="auto"/>
          <w:color w:val="0000FF"/>
        </w:rPr>
      </w:pPr>
    </w:p>
    <w:p>
      <w:pPr>
        <w:ind w:right="120"/>
        <w:spacing w:after="0" w:line="256" w:lineRule="auto"/>
        <w:rPr>
          <w:rFonts w:ascii="Times New Roman" w:cs="Times New Roman" w:eastAsia="Times New Roman" w:hAnsi="Times New Roman"/>
          <w:sz w:val="17"/>
          <w:szCs w:val="17"/>
          <w:color w:val="0000FF"/>
        </w:rPr>
      </w:pPr>
      <w:hyperlink r:id="rId223">
        <w:r>
          <w:rPr>
            <w:rFonts w:ascii="Times New Roman" w:cs="Times New Roman" w:eastAsia="Times New Roman" w:hAnsi="Times New Roman"/>
            <w:sz w:val="17"/>
            <w:szCs w:val="17"/>
            <w:u w:val="single" w:color="auto"/>
            <w:color w:val="0000FF"/>
          </w:rPr>
          <w:t>Filed as Exhibit 10.1 to Old IAC’s Quarterly Report on</w:t>
        </w:r>
      </w:hyperlink>
      <w:r>
        <w:rPr>
          <w:rFonts w:ascii="Times New Roman" w:cs="Times New Roman" w:eastAsia="Times New Roman" w:hAnsi="Times New Roman"/>
          <w:sz w:val="17"/>
          <w:szCs w:val="17"/>
          <w:u w:val="single" w:color="auto"/>
          <w:color w:val="0000FF"/>
        </w:rPr>
        <w:t xml:space="preserve"> </w:t>
      </w:r>
      <w:hyperlink r:id="rId223">
        <w:r>
          <w:rPr>
            <w:rFonts w:ascii="Times New Roman" w:cs="Times New Roman" w:eastAsia="Times New Roman" w:hAnsi="Times New Roman"/>
            <w:sz w:val="17"/>
            <w:szCs w:val="17"/>
            <w:u w:val="single" w:color="auto"/>
            <w:color w:val="0000FF"/>
          </w:rPr>
          <w:t>Form 10-Q for the fiscal quarter ended June 30, 2013</w:t>
        </w:r>
        <w:r>
          <w:rPr>
            <w:rFonts w:ascii="Times New Roman" w:cs="Times New Roman" w:eastAsia="Times New Roman" w:hAnsi="Times New Roman"/>
            <w:sz w:val="17"/>
            <w:szCs w:val="17"/>
            <w:color w:val="000000"/>
          </w:rPr>
          <w:t>.</w:t>
        </w:r>
      </w:hyperlink>
    </w:p>
    <w:p>
      <w:pPr>
        <w:spacing w:after="0" w:line="1" w:lineRule="exact"/>
        <w:rPr>
          <w:sz w:val="20"/>
          <w:szCs w:val="20"/>
          <w:color w:val="auto"/>
        </w:rPr>
      </w:pPr>
    </w:p>
    <w:p>
      <w:pPr>
        <w:spacing w:after="0" w:line="256" w:lineRule="auto"/>
        <w:rPr>
          <w:rFonts w:ascii="Times New Roman" w:cs="Times New Roman" w:eastAsia="Times New Roman" w:hAnsi="Times New Roman"/>
          <w:sz w:val="17"/>
          <w:szCs w:val="17"/>
          <w:color w:val="0000FF"/>
        </w:rPr>
      </w:pPr>
      <w:hyperlink r:id="rId224">
        <w:r>
          <w:rPr>
            <w:rFonts w:ascii="Times New Roman" w:cs="Times New Roman" w:eastAsia="Times New Roman" w:hAnsi="Times New Roman"/>
            <w:sz w:val="17"/>
            <w:szCs w:val="17"/>
            <w:u w:val="single" w:color="auto"/>
            <w:color w:val="0000FF"/>
          </w:rPr>
          <w:t>Filed as Exhibit 10.6 to Old IAC’s Annual Report on</w:t>
        </w:r>
      </w:hyperlink>
      <w:r>
        <w:rPr>
          <w:rFonts w:ascii="Times New Roman" w:cs="Times New Roman" w:eastAsia="Times New Roman" w:hAnsi="Times New Roman"/>
          <w:sz w:val="17"/>
          <w:szCs w:val="17"/>
          <w:u w:val="single" w:color="auto"/>
          <w:color w:val="0000FF"/>
        </w:rPr>
        <w:t xml:space="preserve"> </w:t>
      </w:r>
      <w:hyperlink r:id="rId224">
        <w:r>
          <w:rPr>
            <w:rFonts w:ascii="Times New Roman" w:cs="Times New Roman" w:eastAsia="Times New Roman" w:hAnsi="Times New Roman"/>
            <w:sz w:val="17"/>
            <w:szCs w:val="17"/>
            <w:u w:val="single" w:color="auto"/>
            <w:color w:val="0000FF"/>
          </w:rPr>
          <w:t>Form 10-K for the fiscal year ended December 31, 2013</w:t>
        </w:r>
      </w:hyperlink>
      <w:r>
        <w:rPr>
          <w:rFonts w:ascii="Times New Roman" w:cs="Times New Roman" w:eastAsia="Times New Roman" w:hAnsi="Times New Roman"/>
          <w:sz w:val="17"/>
          <w:szCs w:val="17"/>
          <w:color w:val="000000"/>
        </w:rPr>
        <w:t>.</w:t>
      </w:r>
    </w:p>
    <w:p>
      <w:pPr>
        <w:spacing w:after="0" w:line="1" w:lineRule="exact"/>
        <w:rPr>
          <w:sz w:val="20"/>
          <w:szCs w:val="20"/>
          <w:color w:val="auto"/>
        </w:rPr>
      </w:pPr>
    </w:p>
    <w:p>
      <w:pPr>
        <w:ind w:right="620"/>
        <w:spacing w:after="0" w:line="237" w:lineRule="auto"/>
        <w:rPr>
          <w:rFonts w:ascii="Times New Roman" w:cs="Times New Roman" w:eastAsia="Times New Roman" w:hAnsi="Times New Roman"/>
          <w:sz w:val="18"/>
          <w:szCs w:val="18"/>
          <w:color w:val="0000FF"/>
        </w:rPr>
      </w:pPr>
      <w:hyperlink r:id="rId225">
        <w:r>
          <w:rPr>
            <w:rFonts w:ascii="Times New Roman" w:cs="Times New Roman" w:eastAsia="Times New Roman" w:hAnsi="Times New Roman"/>
            <w:sz w:val="18"/>
            <w:szCs w:val="18"/>
            <w:u w:val="single" w:color="auto"/>
            <w:color w:val="0000FF"/>
          </w:rPr>
          <w:t>Filed as Annex F to Old IAC’s Definitive Proxy</w:t>
        </w:r>
      </w:hyperlink>
      <w:r>
        <w:rPr>
          <w:rFonts w:ascii="Times New Roman" w:cs="Times New Roman" w:eastAsia="Times New Roman" w:hAnsi="Times New Roman"/>
          <w:sz w:val="18"/>
          <w:szCs w:val="18"/>
          <w:u w:val="single" w:color="auto"/>
          <w:color w:val="0000FF"/>
        </w:rPr>
        <w:t xml:space="preserve"> </w:t>
      </w:r>
      <w:hyperlink r:id="rId225">
        <w:r>
          <w:rPr>
            <w:rFonts w:ascii="Times New Roman" w:cs="Times New Roman" w:eastAsia="Times New Roman" w:hAnsi="Times New Roman"/>
            <w:sz w:val="18"/>
            <w:szCs w:val="18"/>
            <w:u w:val="single" w:color="auto"/>
            <w:color w:val="0000FF"/>
          </w:rPr>
          <w:t>Statement, filed on July 11, 2008</w:t>
        </w:r>
        <w:r>
          <w:rPr>
            <w:rFonts w:ascii="Times New Roman" w:cs="Times New Roman" w:eastAsia="Times New Roman" w:hAnsi="Times New Roman"/>
            <w:sz w:val="18"/>
            <w:szCs w:val="18"/>
            <w:color w:val="000000"/>
          </w:rPr>
          <w:t>.</w:t>
        </w:r>
      </w:hyperlink>
    </w:p>
    <w:p>
      <w:pPr>
        <w:spacing w:after="0" w:line="10" w:lineRule="exact"/>
        <w:rPr>
          <w:sz w:val="20"/>
          <w:szCs w:val="20"/>
          <w:color w:val="auto"/>
        </w:rPr>
      </w:pPr>
    </w:p>
    <w:p>
      <w:pPr>
        <w:spacing w:after="0" w:line="256" w:lineRule="auto"/>
        <w:rPr>
          <w:rFonts w:ascii="Times New Roman" w:cs="Times New Roman" w:eastAsia="Times New Roman" w:hAnsi="Times New Roman"/>
          <w:sz w:val="17"/>
          <w:szCs w:val="17"/>
          <w:color w:val="0000FF"/>
        </w:rPr>
      </w:pPr>
      <w:hyperlink r:id="rId226">
        <w:r>
          <w:rPr>
            <w:rFonts w:ascii="Times New Roman" w:cs="Times New Roman" w:eastAsia="Times New Roman" w:hAnsi="Times New Roman"/>
            <w:sz w:val="17"/>
            <w:szCs w:val="17"/>
            <w:u w:val="single" w:color="auto"/>
            <w:color w:val="0000FF"/>
          </w:rPr>
          <w:t>Filed as Exhibit 10.7 to Old IAC’s Annual Report on</w:t>
        </w:r>
      </w:hyperlink>
      <w:r>
        <w:rPr>
          <w:rFonts w:ascii="Times New Roman" w:cs="Times New Roman" w:eastAsia="Times New Roman" w:hAnsi="Times New Roman"/>
          <w:sz w:val="17"/>
          <w:szCs w:val="17"/>
          <w:u w:val="single" w:color="auto"/>
          <w:color w:val="0000FF"/>
        </w:rPr>
        <w:t xml:space="preserve"> </w:t>
      </w:r>
      <w:hyperlink r:id="rId226">
        <w:r>
          <w:rPr>
            <w:rFonts w:ascii="Times New Roman" w:cs="Times New Roman" w:eastAsia="Times New Roman" w:hAnsi="Times New Roman"/>
            <w:sz w:val="17"/>
            <w:szCs w:val="17"/>
            <w:u w:val="single" w:color="auto"/>
            <w:color w:val="0000FF"/>
          </w:rPr>
          <w:t>Form 10-K for the fiscal year ended December 31, 2008</w:t>
        </w:r>
      </w:hyperlink>
      <w:r>
        <w:rPr>
          <w:rFonts w:ascii="Times New Roman" w:cs="Times New Roman" w:eastAsia="Times New Roman" w:hAnsi="Times New Roman"/>
          <w:sz w:val="17"/>
          <w:szCs w:val="17"/>
          <w:color w:val="000000"/>
        </w:rPr>
        <w:t>.</w:t>
      </w:r>
    </w:p>
    <w:p>
      <w:pPr>
        <w:spacing w:after="0" w:line="1" w:lineRule="exact"/>
        <w:rPr>
          <w:sz w:val="20"/>
          <w:szCs w:val="20"/>
          <w:color w:val="auto"/>
        </w:rPr>
      </w:pPr>
    </w:p>
    <w:p>
      <w:pPr>
        <w:ind w:right="60"/>
        <w:spacing w:after="0" w:line="226" w:lineRule="auto"/>
        <w:rPr>
          <w:rFonts w:ascii="Times New Roman" w:cs="Times New Roman" w:eastAsia="Times New Roman" w:hAnsi="Times New Roman"/>
          <w:sz w:val="18"/>
          <w:szCs w:val="18"/>
          <w:color w:val="0000FF"/>
        </w:rPr>
      </w:pPr>
      <w:hyperlink r:id="rId227">
        <w:r>
          <w:rPr>
            <w:rFonts w:ascii="Times New Roman" w:cs="Times New Roman" w:eastAsia="Times New Roman" w:hAnsi="Times New Roman"/>
            <w:sz w:val="18"/>
            <w:szCs w:val="18"/>
            <w:u w:val="single" w:color="auto"/>
            <w:color w:val="0000FF"/>
          </w:rPr>
          <w:t>Filed as Exhibit 10.16 to IAC/InterActiveCorp's Annual</w:t>
        </w:r>
      </w:hyperlink>
      <w:r>
        <w:rPr>
          <w:rFonts w:ascii="Times New Roman" w:cs="Times New Roman" w:eastAsia="Times New Roman" w:hAnsi="Times New Roman"/>
          <w:sz w:val="18"/>
          <w:szCs w:val="18"/>
          <w:u w:val="single" w:color="auto"/>
          <w:color w:val="0000FF"/>
        </w:rPr>
        <w:t xml:space="preserve"> </w:t>
      </w:r>
      <w:hyperlink r:id="rId227">
        <w:r>
          <w:rPr>
            <w:rFonts w:ascii="Times New Roman" w:cs="Times New Roman" w:eastAsia="Times New Roman" w:hAnsi="Times New Roman"/>
            <w:sz w:val="18"/>
            <w:szCs w:val="18"/>
            <w:u w:val="single" w:color="auto"/>
            <w:color w:val="0000FF"/>
          </w:rPr>
          <w:t>Report on Form 10-K for the fiscal year ended</w:t>
        </w:r>
      </w:hyperlink>
      <w:r>
        <w:rPr>
          <w:rFonts w:ascii="Times New Roman" w:cs="Times New Roman" w:eastAsia="Times New Roman" w:hAnsi="Times New Roman"/>
          <w:sz w:val="18"/>
          <w:szCs w:val="18"/>
          <w:u w:val="single" w:color="auto"/>
          <w:color w:val="0000FF"/>
        </w:rPr>
        <w:t xml:space="preserve"> </w:t>
      </w:r>
      <w:hyperlink r:id="rId227">
        <w:r>
          <w:rPr>
            <w:rFonts w:ascii="Times New Roman" w:cs="Times New Roman" w:eastAsia="Times New Roman" w:hAnsi="Times New Roman"/>
            <w:sz w:val="18"/>
            <w:szCs w:val="18"/>
            <w:u w:val="single" w:color="auto"/>
            <w:color w:val="0000FF"/>
          </w:rPr>
          <w:t>December 31, 2020</w:t>
        </w:r>
        <w:r>
          <w:rPr>
            <w:rFonts w:ascii="Times New Roman" w:cs="Times New Roman" w:eastAsia="Times New Roman" w:hAnsi="Times New Roman"/>
            <w:sz w:val="18"/>
            <w:szCs w:val="18"/>
            <w:color w:val="000000"/>
          </w:rPr>
          <w:t>.</w:t>
        </w:r>
      </w:hyperlink>
    </w:p>
    <w:p>
      <w:pPr>
        <w:spacing w:after="0" w:line="9" w:lineRule="exact"/>
        <w:rPr>
          <w:rFonts w:ascii="Times New Roman" w:cs="Times New Roman" w:eastAsia="Times New Roman" w:hAnsi="Times New Roman"/>
          <w:sz w:val="18"/>
          <w:szCs w:val="18"/>
          <w:u w:val="single" w:color="auto"/>
          <w:color w:val="0000FF"/>
        </w:rPr>
      </w:pPr>
    </w:p>
    <w:p>
      <w:pPr>
        <w:ind w:right="80"/>
        <w:spacing w:after="0" w:line="263" w:lineRule="auto"/>
        <w:rPr>
          <w:rFonts w:ascii="Times New Roman" w:cs="Times New Roman" w:eastAsia="Times New Roman" w:hAnsi="Times New Roman"/>
          <w:sz w:val="17"/>
          <w:szCs w:val="17"/>
          <w:color w:val="0000FF"/>
        </w:rPr>
      </w:pPr>
      <w:hyperlink r:id="rId228">
        <w:r>
          <w:rPr>
            <w:rFonts w:ascii="Times New Roman" w:cs="Times New Roman" w:eastAsia="Times New Roman" w:hAnsi="Times New Roman"/>
            <w:sz w:val="17"/>
            <w:szCs w:val="17"/>
            <w:u w:val="single" w:color="auto"/>
            <w:color w:val="0000FF"/>
          </w:rPr>
          <w:t>Filed as Exhibit 10.1 to Old IAC's Quarterly Report on</w:t>
        </w:r>
      </w:hyperlink>
      <w:r>
        <w:rPr>
          <w:rFonts w:ascii="Times New Roman" w:cs="Times New Roman" w:eastAsia="Times New Roman" w:hAnsi="Times New Roman"/>
          <w:sz w:val="17"/>
          <w:szCs w:val="17"/>
          <w:u w:val="single" w:color="auto"/>
          <w:color w:val="0000FF"/>
        </w:rPr>
        <w:t xml:space="preserve"> </w:t>
      </w:r>
      <w:hyperlink r:id="rId228">
        <w:r>
          <w:rPr>
            <w:rFonts w:ascii="Times New Roman" w:cs="Times New Roman" w:eastAsia="Times New Roman" w:hAnsi="Times New Roman"/>
            <w:sz w:val="17"/>
            <w:szCs w:val="17"/>
            <w:u w:val="single" w:color="auto"/>
            <w:color w:val="0000FF"/>
          </w:rPr>
          <w:t>Form 10-Q for the fiscal quarter ended March 31, 2011</w:t>
        </w:r>
      </w:hyperlink>
      <w:r>
        <w:rPr>
          <w:rFonts w:ascii="Times New Roman" w:cs="Times New Roman" w:eastAsia="Times New Roman" w:hAnsi="Times New Roman"/>
          <w:sz w:val="17"/>
          <w:szCs w:val="17"/>
          <w:color w:val="000000"/>
        </w:rPr>
        <w:t>.</w:t>
      </w:r>
    </w:p>
    <w:p>
      <w:pPr>
        <w:spacing w:after="0" w:line="247" w:lineRule="exact"/>
        <w:rPr>
          <w:sz w:val="20"/>
          <w:szCs w:val="20"/>
          <w:color w:val="auto"/>
        </w:rPr>
      </w:pPr>
    </w:p>
    <w:p>
      <w:pPr>
        <w:spacing w:after="0" w:line="256" w:lineRule="auto"/>
        <w:rPr>
          <w:rFonts w:ascii="Times New Roman" w:cs="Times New Roman" w:eastAsia="Times New Roman" w:hAnsi="Times New Roman"/>
          <w:sz w:val="17"/>
          <w:szCs w:val="17"/>
          <w:color w:val="0000FF"/>
        </w:rPr>
      </w:pPr>
      <w:hyperlink r:id="rId229">
        <w:r>
          <w:rPr>
            <w:rFonts w:ascii="Times New Roman" w:cs="Times New Roman" w:eastAsia="Times New Roman" w:hAnsi="Times New Roman"/>
            <w:sz w:val="17"/>
            <w:szCs w:val="17"/>
            <w:u w:val="single" w:color="auto"/>
            <w:color w:val="0000FF"/>
          </w:rPr>
          <w:t>Filed as Exhibit 10.26 to Old IAC’s Annual Report on</w:t>
        </w:r>
      </w:hyperlink>
      <w:r>
        <w:rPr>
          <w:rFonts w:ascii="Times New Roman" w:cs="Times New Roman" w:eastAsia="Times New Roman" w:hAnsi="Times New Roman"/>
          <w:sz w:val="17"/>
          <w:szCs w:val="17"/>
          <w:u w:val="single" w:color="auto"/>
          <w:color w:val="0000FF"/>
        </w:rPr>
        <w:t xml:space="preserve"> </w:t>
      </w:r>
      <w:hyperlink r:id="rId229">
        <w:r>
          <w:rPr>
            <w:rFonts w:ascii="Times New Roman" w:cs="Times New Roman" w:eastAsia="Times New Roman" w:hAnsi="Times New Roman"/>
            <w:sz w:val="17"/>
            <w:szCs w:val="17"/>
            <w:u w:val="single" w:color="auto"/>
            <w:color w:val="0000FF"/>
          </w:rPr>
          <w:t>Form 10-K for the fiscal year ended December 31, 1996</w:t>
        </w:r>
      </w:hyperlink>
      <w:r>
        <w:rPr>
          <w:rFonts w:ascii="Times New Roman" w:cs="Times New Roman" w:eastAsia="Times New Roman" w:hAnsi="Times New Roman"/>
          <w:sz w:val="17"/>
          <w:szCs w:val="17"/>
          <w:color w:val="000000"/>
        </w:rPr>
        <w:t>.</w:t>
      </w:r>
    </w:p>
    <w:p>
      <w:pPr>
        <w:spacing w:after="0" w:line="1" w:lineRule="exact"/>
        <w:rPr>
          <w:sz w:val="20"/>
          <w:szCs w:val="20"/>
          <w:color w:val="auto"/>
        </w:rPr>
      </w:pPr>
    </w:p>
    <w:p>
      <w:pPr>
        <w:ind w:right="280"/>
        <w:spacing w:after="0" w:line="237" w:lineRule="auto"/>
        <w:rPr>
          <w:rFonts w:ascii="Times New Roman" w:cs="Times New Roman" w:eastAsia="Times New Roman" w:hAnsi="Times New Roman"/>
          <w:sz w:val="18"/>
          <w:szCs w:val="18"/>
          <w:u w:val="single" w:color="auto"/>
          <w:color w:val="0000FF"/>
        </w:rPr>
      </w:pPr>
      <w:hyperlink r:id="rId230">
        <w:r>
          <w:rPr>
            <w:rFonts w:ascii="Times New Roman" w:cs="Times New Roman" w:eastAsia="Times New Roman" w:hAnsi="Times New Roman"/>
            <w:sz w:val="18"/>
            <w:szCs w:val="18"/>
            <w:u w:val="single" w:color="auto"/>
            <w:color w:val="0000FF"/>
          </w:rPr>
          <w:t>Filed as Exhibit 10.1 to IAC Inc.'s Current Report on</w:t>
        </w:r>
      </w:hyperlink>
      <w:r>
        <w:rPr>
          <w:rFonts w:ascii="Times New Roman" w:cs="Times New Roman" w:eastAsia="Times New Roman" w:hAnsi="Times New Roman"/>
          <w:sz w:val="18"/>
          <w:szCs w:val="18"/>
          <w:u w:val="single" w:color="auto"/>
          <w:color w:val="0000FF"/>
        </w:rPr>
        <w:t xml:space="preserve"> </w:t>
      </w:r>
      <w:hyperlink r:id="rId230">
        <w:r>
          <w:rPr>
            <w:rFonts w:ascii="Times New Roman" w:cs="Times New Roman" w:eastAsia="Times New Roman" w:hAnsi="Times New Roman"/>
            <w:sz w:val="18"/>
            <w:szCs w:val="18"/>
            <w:u w:val="single" w:color="auto"/>
            <w:color w:val="0000FF"/>
          </w:rPr>
          <w:t>Form 8-K, filed on January 13, 2025.</w:t>
        </w:r>
      </w:hyperlink>
    </w:p>
    <w:p>
      <w:pPr>
        <w:spacing w:after="0" w:line="10" w:lineRule="exact"/>
        <w:rPr>
          <w:sz w:val="20"/>
          <w:szCs w:val="20"/>
          <w:color w:val="auto"/>
        </w:rPr>
      </w:pPr>
    </w:p>
    <w:p>
      <w:pPr>
        <w:jc w:val="both"/>
        <w:ind w:right="60"/>
        <w:spacing w:after="0" w:line="256" w:lineRule="auto"/>
        <w:rPr>
          <w:rFonts w:ascii="Times New Roman" w:cs="Times New Roman" w:eastAsia="Times New Roman" w:hAnsi="Times New Roman"/>
          <w:sz w:val="17"/>
          <w:szCs w:val="17"/>
          <w:color w:val="0000FF"/>
        </w:rPr>
      </w:pPr>
      <w:hyperlink r:id="rId231">
        <w:r>
          <w:rPr>
            <w:rFonts w:ascii="Times New Roman" w:cs="Times New Roman" w:eastAsia="Times New Roman" w:hAnsi="Times New Roman"/>
            <w:sz w:val="17"/>
            <w:szCs w:val="17"/>
            <w:u w:val="single" w:color="auto"/>
            <w:color w:val="0000FF"/>
          </w:rPr>
          <w:t>Filed as Exhibit 10.1 to Old IAC’s Quarterly Report on</w:t>
        </w:r>
      </w:hyperlink>
      <w:r>
        <w:rPr>
          <w:rFonts w:ascii="Times New Roman" w:cs="Times New Roman" w:eastAsia="Times New Roman" w:hAnsi="Times New Roman"/>
          <w:sz w:val="17"/>
          <w:szCs w:val="17"/>
          <w:u w:val="single" w:color="auto"/>
          <w:color w:val="0000FF"/>
        </w:rPr>
        <w:t xml:space="preserve"> </w:t>
      </w:r>
      <w:hyperlink r:id="rId231">
        <w:r>
          <w:rPr>
            <w:rFonts w:ascii="Times New Roman" w:cs="Times New Roman" w:eastAsia="Times New Roman" w:hAnsi="Times New Roman"/>
            <w:sz w:val="17"/>
            <w:szCs w:val="17"/>
            <w:u w:val="single" w:color="auto"/>
            <w:color w:val="0000FF"/>
          </w:rPr>
          <w:t>Form 10-Q for the fiscal quarter ended March 31, 2012</w:t>
        </w:r>
      </w:hyperlink>
      <w:r>
        <w:rPr>
          <w:rFonts w:ascii="Times New Roman" w:cs="Times New Roman" w:eastAsia="Times New Roman" w:hAnsi="Times New Roman"/>
          <w:sz w:val="17"/>
          <w:szCs w:val="17"/>
          <w:color w:val="000000"/>
        </w:rPr>
        <w:t>.</w:t>
      </w:r>
    </w:p>
    <w:p>
      <w:pPr>
        <w:spacing w:after="0" w:line="1" w:lineRule="exact"/>
        <w:rPr>
          <w:sz w:val="20"/>
          <w:szCs w:val="20"/>
          <w:color w:val="auto"/>
        </w:rPr>
      </w:pPr>
    </w:p>
    <w:p>
      <w:pPr>
        <w:ind w:right="60"/>
        <w:spacing w:after="0" w:line="222" w:lineRule="auto"/>
        <w:rPr>
          <w:rFonts w:ascii="Times New Roman" w:cs="Times New Roman" w:eastAsia="Times New Roman" w:hAnsi="Times New Roman"/>
          <w:sz w:val="18"/>
          <w:szCs w:val="18"/>
          <w:u w:val="single" w:color="auto"/>
          <w:color w:val="0000FF"/>
        </w:rPr>
      </w:pPr>
      <w:hyperlink r:id="rId232">
        <w:r>
          <w:rPr>
            <w:rFonts w:ascii="Times New Roman" w:cs="Times New Roman" w:eastAsia="Times New Roman" w:hAnsi="Times New Roman"/>
            <w:sz w:val="18"/>
            <w:szCs w:val="18"/>
            <w:u w:val="single" w:color="auto"/>
            <w:color w:val="0000FF"/>
          </w:rPr>
          <w:t>Filed as Exhibit 10.19 to IAC/InterActiveCorp's Annual</w:t>
        </w:r>
      </w:hyperlink>
      <w:r>
        <w:rPr>
          <w:rFonts w:ascii="Times New Roman" w:cs="Times New Roman" w:eastAsia="Times New Roman" w:hAnsi="Times New Roman"/>
          <w:sz w:val="18"/>
          <w:szCs w:val="18"/>
          <w:u w:val="single" w:color="auto"/>
          <w:color w:val="0000FF"/>
        </w:rPr>
        <w:t xml:space="preserve"> </w:t>
      </w:r>
      <w:hyperlink r:id="rId232">
        <w:r>
          <w:rPr>
            <w:rFonts w:ascii="Times New Roman" w:cs="Times New Roman" w:eastAsia="Times New Roman" w:hAnsi="Times New Roman"/>
            <w:sz w:val="18"/>
            <w:szCs w:val="18"/>
            <w:u w:val="single" w:color="auto"/>
            <w:color w:val="0000FF"/>
          </w:rPr>
          <w:t>Report on Form 10-K for the fiscal year ended</w:t>
        </w:r>
      </w:hyperlink>
    </w:p>
    <w:p>
      <w:pPr>
        <w:spacing w:after="0" w:line="2" w:lineRule="exact"/>
        <w:rPr>
          <w:sz w:val="20"/>
          <w:szCs w:val="20"/>
          <w:color w:val="auto"/>
        </w:rPr>
      </w:pPr>
    </w:p>
    <w:p>
      <w:pPr>
        <w:spacing w:after="0"/>
        <w:rPr>
          <w:rFonts w:ascii="Times New Roman" w:cs="Times New Roman" w:eastAsia="Times New Roman" w:hAnsi="Times New Roman"/>
          <w:sz w:val="18"/>
          <w:szCs w:val="18"/>
          <w:color w:val="0000FF"/>
        </w:rPr>
      </w:pPr>
      <w:hyperlink r:id="rId232">
        <w:r>
          <w:rPr>
            <w:rFonts w:ascii="Times New Roman" w:cs="Times New Roman" w:eastAsia="Times New Roman" w:hAnsi="Times New Roman"/>
            <w:sz w:val="18"/>
            <w:szCs w:val="18"/>
            <w:u w:val="single" w:color="auto"/>
            <w:color w:val="0000FF"/>
          </w:rPr>
          <w:t>December 31, 2021</w:t>
        </w:r>
        <w:r>
          <w:rPr>
            <w:rFonts w:ascii="Times New Roman" w:cs="Times New Roman" w:eastAsia="Times New Roman" w:hAnsi="Times New Roman"/>
            <w:sz w:val="18"/>
            <w:szCs w:val="18"/>
            <w:color w:val="000000"/>
          </w:rPr>
          <w:t>.</w:t>
        </w:r>
      </w:hyperlink>
    </w:p>
    <w:p>
      <w:pPr>
        <w:spacing w:after="0" w:line="7" w:lineRule="exact"/>
        <w:rPr>
          <w:sz w:val="20"/>
          <w:szCs w:val="20"/>
          <w:color w:val="auto"/>
        </w:rPr>
      </w:pPr>
    </w:p>
    <w:p>
      <w:pPr>
        <w:ind w:right="60"/>
        <w:spacing w:after="0" w:line="220" w:lineRule="auto"/>
        <w:rPr>
          <w:rFonts w:ascii="Times New Roman" w:cs="Times New Roman" w:eastAsia="Times New Roman" w:hAnsi="Times New Roman"/>
          <w:sz w:val="18"/>
          <w:szCs w:val="18"/>
          <w:u w:val="single" w:color="auto"/>
          <w:color w:val="0000FF"/>
        </w:rPr>
      </w:pPr>
      <w:hyperlink r:id="rId233">
        <w:r>
          <w:rPr>
            <w:rFonts w:ascii="Times New Roman" w:cs="Times New Roman" w:eastAsia="Times New Roman" w:hAnsi="Times New Roman"/>
            <w:sz w:val="18"/>
            <w:szCs w:val="18"/>
            <w:u w:val="single" w:color="auto"/>
            <w:color w:val="0000FF"/>
          </w:rPr>
          <w:t>Filed as Exhibit 10.25 to IAC/InterActiveCorp's Annual</w:t>
        </w:r>
      </w:hyperlink>
      <w:r>
        <w:rPr>
          <w:rFonts w:ascii="Times New Roman" w:cs="Times New Roman" w:eastAsia="Times New Roman" w:hAnsi="Times New Roman"/>
          <w:sz w:val="18"/>
          <w:szCs w:val="18"/>
          <w:u w:val="single" w:color="auto"/>
          <w:color w:val="0000FF"/>
        </w:rPr>
        <w:t xml:space="preserve"> </w:t>
      </w:r>
      <w:hyperlink r:id="rId233">
        <w:r>
          <w:rPr>
            <w:rFonts w:ascii="Times New Roman" w:cs="Times New Roman" w:eastAsia="Times New Roman" w:hAnsi="Times New Roman"/>
            <w:sz w:val="18"/>
            <w:szCs w:val="18"/>
            <w:u w:val="single" w:color="auto"/>
            <w:color w:val="0000FF"/>
          </w:rPr>
          <w:t>Report on Form 10-K for the fiscal year ended</w:t>
        </w:r>
      </w:hyperlink>
    </w:p>
    <w:p>
      <w:pPr>
        <w:spacing w:after="0"/>
        <w:rPr>
          <w:rFonts w:ascii="Times New Roman" w:cs="Times New Roman" w:eastAsia="Times New Roman" w:hAnsi="Times New Roman"/>
          <w:sz w:val="18"/>
          <w:szCs w:val="18"/>
          <w:color w:val="0000FF"/>
        </w:rPr>
      </w:pPr>
      <w:hyperlink r:id="rId233">
        <w:r>
          <w:rPr>
            <w:rFonts w:ascii="Times New Roman" w:cs="Times New Roman" w:eastAsia="Times New Roman" w:hAnsi="Times New Roman"/>
            <w:sz w:val="18"/>
            <w:szCs w:val="18"/>
            <w:u w:val="single" w:color="auto"/>
            <w:color w:val="0000FF"/>
          </w:rPr>
          <w:t>December 31, 2020</w:t>
        </w:r>
        <w:r>
          <w:rPr>
            <w:rFonts w:ascii="Times New Roman" w:cs="Times New Roman" w:eastAsia="Times New Roman" w:hAnsi="Times New Roman"/>
            <w:sz w:val="18"/>
            <w:szCs w:val="18"/>
            <w:color w:val="000000"/>
          </w:rPr>
          <w:t>.</w:t>
        </w:r>
      </w:hyperlink>
    </w:p>
    <w:p>
      <w:pPr>
        <w:spacing w:after="0" w:line="7" w:lineRule="exact"/>
        <w:rPr>
          <w:sz w:val="20"/>
          <w:szCs w:val="20"/>
          <w:color w:val="auto"/>
        </w:rPr>
      </w:pPr>
    </w:p>
    <w:p>
      <w:pPr>
        <w:ind w:right="80"/>
        <w:spacing w:after="0" w:line="257" w:lineRule="auto"/>
        <w:rPr>
          <w:rFonts w:ascii="Times New Roman" w:cs="Times New Roman" w:eastAsia="Times New Roman" w:hAnsi="Times New Roman"/>
          <w:sz w:val="17"/>
          <w:szCs w:val="17"/>
          <w:color w:val="0000FF"/>
        </w:rPr>
      </w:pPr>
      <w:hyperlink r:id="rId234">
        <w:r>
          <w:rPr>
            <w:rFonts w:ascii="Times New Roman" w:cs="Times New Roman" w:eastAsia="Times New Roman" w:hAnsi="Times New Roman"/>
            <w:sz w:val="17"/>
            <w:szCs w:val="17"/>
            <w:u w:val="single" w:color="auto"/>
            <w:color w:val="0000FF"/>
          </w:rPr>
          <w:t>Filed as Exhibit 10.24 to IAC's Annual Report on Form</w:t>
        </w:r>
      </w:hyperlink>
      <w:r>
        <w:rPr>
          <w:rFonts w:ascii="Times New Roman" w:cs="Times New Roman" w:eastAsia="Times New Roman" w:hAnsi="Times New Roman"/>
          <w:sz w:val="17"/>
          <w:szCs w:val="17"/>
          <w:u w:val="single" w:color="auto"/>
          <w:color w:val="0000FF"/>
        </w:rPr>
        <w:t xml:space="preserve"> </w:t>
      </w:r>
      <w:hyperlink r:id="rId234">
        <w:r>
          <w:rPr>
            <w:rFonts w:ascii="Times New Roman" w:cs="Times New Roman" w:eastAsia="Times New Roman" w:hAnsi="Times New Roman"/>
            <w:sz w:val="17"/>
            <w:szCs w:val="17"/>
            <w:u w:val="single" w:color="auto"/>
            <w:color w:val="0000FF"/>
          </w:rPr>
          <w:t>10-K for the fiscal year ended December 31, 2023</w:t>
        </w:r>
        <w:r>
          <w:rPr>
            <w:rFonts w:ascii="Times New Roman" w:cs="Times New Roman" w:eastAsia="Times New Roman" w:hAnsi="Times New Roman"/>
            <w:sz w:val="17"/>
            <w:szCs w:val="17"/>
            <w:color w:val="000000"/>
          </w:rPr>
          <w:t>.</w:t>
        </w:r>
      </w:hyperlink>
    </w:p>
    <w:p>
      <w:pPr>
        <w:spacing w:after="0" w:line="200" w:lineRule="exact"/>
        <w:rPr>
          <w:sz w:val="20"/>
          <w:szCs w:val="20"/>
          <w:color w:val="auto"/>
        </w:rPr>
      </w:pPr>
    </w:p>
    <w:p>
      <w:pPr>
        <w:sectPr>
          <w:pgSz w:w="11900" w:h="16838" w:orient="portrait"/>
          <w:cols w:equalWidth="0" w:num="2">
            <w:col w:w="6400" w:space="200"/>
            <w:col w:w="4080"/>
          </w:cols>
          <w:pgMar w:left="840" w:top="1080" w:right="37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73025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840" w:top="1080" w:right="379" w:bottom="1440" w:gutter="0" w:footer="0" w:header="0"/>
          <w:type w:val="continuous"/>
        </w:sectPr>
      </w:pPr>
    </w:p>
    <w:bookmarkStart w:id="166" w:name="page167"/>
    <w:bookmarkEnd w:id="166"/>
    <w:p>
      <w:pPr>
        <w:jc w:val="both"/>
        <w:ind w:left="460" w:right="40" w:hanging="548"/>
        <w:spacing w:after="0" w:line="222" w:lineRule="auto"/>
        <w:tabs>
          <w:tab w:leader="none" w:pos="440" w:val="left"/>
        </w:tabs>
        <w:rPr>
          <w:sz w:val="20"/>
          <w:szCs w:val="20"/>
          <w:color w:val="auto"/>
        </w:rPr>
      </w:pPr>
      <w:r>
        <w:rPr>
          <w:rFonts w:ascii="Times New Roman" w:cs="Times New Roman" w:eastAsia="Times New Roman" w:hAnsi="Times New Roman"/>
          <w:sz w:val="18"/>
          <w:szCs w:val="18"/>
          <w:color w:val="auto"/>
        </w:rPr>
        <w:t>10.21</w:t>
        <w:tab/>
        <w:t>Amendment No. 3 to Google Services Agreement, dated as of February 11, 2019 (with an effective date of April 1, 2020), between IAC/InterActiveCorp and</w:t>
      </w:r>
    </w:p>
    <w:p>
      <w:pPr>
        <w:spacing w:after="0" w:line="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Google LLC.(4)</w:t>
      </w:r>
    </w:p>
    <w:p>
      <w:pPr>
        <w:spacing w:after="0" w:line="7" w:lineRule="exact"/>
        <w:rPr>
          <w:sz w:val="20"/>
          <w:szCs w:val="20"/>
          <w:color w:val="auto"/>
        </w:rPr>
      </w:pPr>
    </w:p>
    <w:p>
      <w:pPr>
        <w:ind w:left="460" w:right="180" w:hanging="548"/>
        <w:spacing w:after="0" w:line="233" w:lineRule="auto"/>
        <w:tabs>
          <w:tab w:leader="none" w:pos="440" w:val="left"/>
        </w:tabs>
        <w:rPr>
          <w:sz w:val="20"/>
          <w:szCs w:val="20"/>
          <w:color w:val="auto"/>
        </w:rPr>
      </w:pPr>
      <w:r>
        <w:rPr>
          <w:rFonts w:ascii="Times New Roman" w:cs="Times New Roman" w:eastAsia="Times New Roman" w:hAnsi="Times New Roman"/>
          <w:sz w:val="18"/>
          <w:szCs w:val="18"/>
          <w:color w:val="auto"/>
        </w:rPr>
        <w:t>10.22</w:t>
      </w:r>
      <w:r>
        <w:rPr>
          <w:sz w:val="20"/>
          <w:szCs w:val="20"/>
          <w:color w:val="auto"/>
        </w:rPr>
        <w:tab/>
      </w:r>
      <w:r>
        <w:rPr>
          <w:rFonts w:ascii="Times New Roman" w:cs="Times New Roman" w:eastAsia="Times New Roman" w:hAnsi="Times New Roman"/>
          <w:sz w:val="17"/>
          <w:szCs w:val="17"/>
          <w:color w:val="auto"/>
        </w:rPr>
        <w:t>Amendment No. 4 to Google Services Agreement, dated as of August 23, 2021 (with an effective date of August 1, 2021), between IAC/InterActiveCorp and</w:t>
      </w:r>
    </w:p>
    <w:p>
      <w:pPr>
        <w:ind w:left="460"/>
        <w:spacing w:after="0"/>
        <w:rPr>
          <w:sz w:val="20"/>
          <w:szCs w:val="20"/>
          <w:color w:val="auto"/>
        </w:rPr>
      </w:pPr>
      <w:r>
        <w:rPr>
          <w:rFonts w:ascii="Times New Roman" w:cs="Times New Roman" w:eastAsia="Times New Roman" w:hAnsi="Times New Roman"/>
          <w:sz w:val="18"/>
          <w:szCs w:val="18"/>
          <w:color w:val="auto"/>
        </w:rPr>
        <w:t>Google LLC and certain of their respective subsidiaries.(4)</w:t>
      </w:r>
    </w:p>
    <w:p>
      <w:pPr>
        <w:spacing w:after="0" w:line="7" w:lineRule="exact"/>
        <w:rPr>
          <w:sz w:val="20"/>
          <w:szCs w:val="20"/>
          <w:color w:val="auto"/>
        </w:rPr>
      </w:pPr>
    </w:p>
    <w:p>
      <w:pPr>
        <w:jc w:val="both"/>
        <w:ind w:left="460" w:right="60" w:hanging="548"/>
        <w:spacing w:after="0" w:line="258" w:lineRule="auto"/>
        <w:tabs>
          <w:tab w:leader="none" w:pos="440" w:val="left"/>
        </w:tabs>
        <w:rPr>
          <w:sz w:val="20"/>
          <w:szCs w:val="20"/>
          <w:color w:val="auto"/>
        </w:rPr>
      </w:pPr>
      <w:r>
        <w:rPr>
          <w:rFonts w:ascii="Times New Roman" w:cs="Times New Roman" w:eastAsia="Times New Roman" w:hAnsi="Times New Roman"/>
          <w:sz w:val="18"/>
          <w:szCs w:val="18"/>
          <w:u w:val="single" w:color="auto"/>
          <w:color w:val="0000FF"/>
        </w:rPr>
        <w:t>10.23</w:t>
      </w:r>
      <w:r>
        <w:rPr>
          <w:sz w:val="20"/>
          <w:szCs w:val="20"/>
          <w:color w:val="auto"/>
        </w:rPr>
        <w:tab/>
      </w:r>
      <w:r>
        <w:rPr>
          <w:rFonts w:ascii="Times New Roman" w:cs="Times New Roman" w:eastAsia="Times New Roman" w:hAnsi="Times New Roman"/>
          <w:sz w:val="18"/>
          <w:szCs w:val="18"/>
          <w:color w:val="auto"/>
        </w:rPr>
        <w:t>Amendment No. 5 to Google Services Agreement, dated as of January 20, 2025 (with an effective date of April 1, 2025), between IAC Inc. and Google LLC and certain of their respective subsidiaries.(3)(4)</w:t>
      </w:r>
    </w:p>
    <w:p>
      <w:pPr>
        <w:spacing w:after="0" w:line="3" w:lineRule="exact"/>
        <w:rPr>
          <w:sz w:val="20"/>
          <w:szCs w:val="20"/>
          <w:color w:val="auto"/>
        </w:rPr>
      </w:pPr>
    </w:p>
    <w:p>
      <w:pPr>
        <w:ind w:left="460" w:right="1180" w:hanging="548"/>
        <w:spacing w:after="0" w:line="290" w:lineRule="auto"/>
        <w:tabs>
          <w:tab w:leader="none" w:pos="440" w:val="left"/>
        </w:tabs>
        <w:rPr>
          <w:sz w:val="20"/>
          <w:szCs w:val="20"/>
          <w:color w:val="auto"/>
        </w:rPr>
      </w:pPr>
      <w:r>
        <w:rPr>
          <w:rFonts w:ascii="Times New Roman" w:cs="Times New Roman" w:eastAsia="Times New Roman" w:hAnsi="Times New Roman"/>
          <w:sz w:val="18"/>
          <w:szCs w:val="18"/>
          <w:color w:val="auto"/>
        </w:rPr>
        <w:t>10.24</w:t>
      </w:r>
      <w:r>
        <w:rPr>
          <w:sz w:val="20"/>
          <w:szCs w:val="20"/>
          <w:color w:val="auto"/>
        </w:rPr>
        <w:tab/>
      </w:r>
      <w:r>
        <w:rPr>
          <w:rFonts w:ascii="Times New Roman" w:cs="Times New Roman" w:eastAsia="Times New Roman" w:hAnsi="Times New Roman"/>
          <w:sz w:val="17"/>
          <w:szCs w:val="17"/>
          <w:color w:val="auto"/>
        </w:rPr>
        <w:t>Employee Matters Agreement by and between IAC/InterActiveCorp and Vimeo, Inc., dated as of May 24, 2021.</w:t>
      </w:r>
    </w:p>
    <w:p>
      <w:pPr>
        <w:ind w:left="460" w:right="180" w:hanging="548"/>
        <w:spacing w:after="0" w:line="266" w:lineRule="auto"/>
        <w:tabs>
          <w:tab w:leader="none" w:pos="440" w:val="left"/>
        </w:tabs>
        <w:rPr>
          <w:sz w:val="20"/>
          <w:szCs w:val="20"/>
          <w:color w:val="auto"/>
        </w:rPr>
      </w:pPr>
      <w:r>
        <w:rPr>
          <w:rFonts w:ascii="Times New Roman" w:cs="Times New Roman" w:eastAsia="Times New Roman" w:hAnsi="Times New Roman"/>
          <w:sz w:val="18"/>
          <w:szCs w:val="18"/>
          <w:color w:val="auto"/>
        </w:rPr>
        <w:t>10.25</w:t>
        <w:tab/>
        <w:t>Tax Matters Agreement by and between IAC/InterActiveCorp and Vimeo, Inc., dated as of May 24, 2021.</w:t>
      </w:r>
    </w:p>
    <w:p>
      <w:pPr>
        <w:spacing w:after="0" w:line="14" w:lineRule="exact"/>
        <w:rPr>
          <w:sz w:val="20"/>
          <w:szCs w:val="20"/>
          <w:color w:val="auto"/>
        </w:rPr>
      </w:pPr>
    </w:p>
    <w:p>
      <w:pPr>
        <w:ind w:left="460" w:right="20" w:hanging="548"/>
        <w:spacing w:after="0" w:line="266" w:lineRule="auto"/>
        <w:tabs>
          <w:tab w:leader="none" w:pos="440" w:val="left"/>
        </w:tabs>
        <w:rPr>
          <w:sz w:val="20"/>
          <w:szCs w:val="20"/>
          <w:color w:val="auto"/>
        </w:rPr>
      </w:pPr>
      <w:r>
        <w:rPr>
          <w:rFonts w:ascii="Times New Roman" w:cs="Times New Roman" w:eastAsia="Times New Roman" w:hAnsi="Times New Roman"/>
          <w:sz w:val="18"/>
          <w:szCs w:val="18"/>
          <w:color w:val="auto"/>
        </w:rPr>
        <w:t>10.26</w:t>
        <w:tab/>
        <w:t>Amended and Restated Employee Matters Agreement, dated as of June 30, 2020, by and between IAC/InterActiveCorp and Match Group, Inc.</w:t>
      </w:r>
    </w:p>
    <w:p>
      <w:pPr>
        <w:spacing w:after="0" w:line="14" w:lineRule="exact"/>
        <w:rPr>
          <w:sz w:val="20"/>
          <w:szCs w:val="20"/>
          <w:color w:val="auto"/>
        </w:rPr>
      </w:pPr>
    </w:p>
    <w:p>
      <w:pPr>
        <w:ind w:left="460" w:right="1040" w:hanging="548"/>
        <w:spacing w:after="0" w:line="266" w:lineRule="auto"/>
        <w:tabs>
          <w:tab w:leader="none" w:pos="440" w:val="left"/>
        </w:tabs>
        <w:rPr>
          <w:sz w:val="20"/>
          <w:szCs w:val="20"/>
          <w:color w:val="auto"/>
        </w:rPr>
      </w:pPr>
      <w:r>
        <w:rPr>
          <w:rFonts w:ascii="Times New Roman" w:cs="Times New Roman" w:eastAsia="Times New Roman" w:hAnsi="Times New Roman"/>
          <w:sz w:val="18"/>
          <w:szCs w:val="18"/>
          <w:color w:val="auto"/>
        </w:rPr>
        <w:t>10.27</w:t>
        <w:tab/>
        <w:t>Tax Matters Agreement, dated as of June 30, 2020, by and between IAC/InterActiveCorp and Match Group, Inc.</w:t>
      </w:r>
    </w:p>
    <w:p>
      <w:pPr>
        <w:spacing w:after="0" w:line="14" w:lineRule="exact"/>
        <w:rPr>
          <w:sz w:val="20"/>
          <w:szCs w:val="20"/>
          <w:color w:val="auto"/>
        </w:rPr>
      </w:pPr>
    </w:p>
    <w:p>
      <w:pPr>
        <w:ind w:left="460" w:right="540" w:hanging="548"/>
        <w:spacing w:after="0" w:line="266" w:lineRule="auto"/>
        <w:tabs>
          <w:tab w:leader="none" w:pos="440" w:val="left"/>
        </w:tabs>
        <w:rPr>
          <w:sz w:val="20"/>
          <w:szCs w:val="20"/>
          <w:color w:val="auto"/>
        </w:rPr>
      </w:pPr>
      <w:r>
        <w:rPr>
          <w:rFonts w:ascii="Times New Roman" w:cs="Times New Roman" w:eastAsia="Times New Roman" w:hAnsi="Times New Roman"/>
          <w:sz w:val="18"/>
          <w:szCs w:val="18"/>
          <w:color w:val="auto"/>
        </w:rPr>
        <w:t>10.28</w:t>
        <w:tab/>
        <w:t>Contribution Agreement, dated as of September 29, 2017, by and between IAC/InterActiveCorp and ANGI Homeservices Inc.</w:t>
      </w:r>
    </w:p>
    <w:p>
      <w:pPr>
        <w:spacing w:after="0" w:line="14" w:lineRule="exact"/>
        <w:rPr>
          <w:sz w:val="20"/>
          <w:szCs w:val="20"/>
          <w:color w:val="auto"/>
        </w:rPr>
      </w:pPr>
    </w:p>
    <w:p>
      <w:pPr>
        <w:ind w:left="460" w:right="120" w:hanging="548"/>
        <w:spacing w:after="0" w:line="266" w:lineRule="auto"/>
        <w:tabs>
          <w:tab w:leader="none" w:pos="440" w:val="left"/>
        </w:tabs>
        <w:rPr>
          <w:sz w:val="20"/>
          <w:szCs w:val="20"/>
          <w:color w:val="auto"/>
        </w:rPr>
      </w:pPr>
      <w:r>
        <w:rPr>
          <w:rFonts w:ascii="Times New Roman" w:cs="Times New Roman" w:eastAsia="Times New Roman" w:hAnsi="Times New Roman"/>
          <w:sz w:val="18"/>
          <w:szCs w:val="18"/>
          <w:color w:val="auto"/>
        </w:rPr>
        <w:t>10.29</w:t>
        <w:tab/>
        <w:t>Employee Matters Agreement, dated as of September 29, 2017, by and between IAC/InterActiveCorp and ANGI Homeservices Inc.(1)</w:t>
      </w:r>
    </w:p>
    <w:p>
      <w:pPr>
        <w:spacing w:after="0" w:line="14" w:lineRule="exact"/>
        <w:rPr>
          <w:sz w:val="20"/>
          <w:szCs w:val="20"/>
          <w:color w:val="auto"/>
        </w:rPr>
      </w:pPr>
    </w:p>
    <w:p>
      <w:pPr>
        <w:ind w:left="460" w:right="340" w:hanging="548"/>
        <w:spacing w:after="0" w:line="266" w:lineRule="auto"/>
        <w:tabs>
          <w:tab w:leader="none" w:pos="440" w:val="left"/>
        </w:tabs>
        <w:rPr>
          <w:sz w:val="20"/>
          <w:szCs w:val="20"/>
          <w:color w:val="auto"/>
        </w:rPr>
      </w:pPr>
      <w:r>
        <w:rPr>
          <w:rFonts w:ascii="Times New Roman" w:cs="Times New Roman" w:eastAsia="Times New Roman" w:hAnsi="Times New Roman"/>
          <w:sz w:val="18"/>
          <w:szCs w:val="18"/>
          <w:color w:val="auto"/>
        </w:rPr>
        <w:t>10.30</w:t>
        <w:tab/>
        <w:t>Investor Rights Agreement, dated as of September 29, 2017, by and between IAC/InterActiveCorp and ANGI Homeservices Inc.</w:t>
      </w:r>
    </w:p>
    <w:p>
      <w:pPr>
        <w:spacing w:after="0" w:line="14" w:lineRule="exact"/>
        <w:rPr>
          <w:sz w:val="20"/>
          <w:szCs w:val="20"/>
          <w:color w:val="auto"/>
        </w:rPr>
      </w:pPr>
    </w:p>
    <w:p>
      <w:pPr>
        <w:ind w:left="460" w:right="580" w:hanging="548"/>
        <w:spacing w:after="0" w:line="266" w:lineRule="auto"/>
        <w:tabs>
          <w:tab w:leader="none" w:pos="440" w:val="left"/>
        </w:tabs>
        <w:rPr>
          <w:sz w:val="20"/>
          <w:szCs w:val="20"/>
          <w:color w:val="auto"/>
        </w:rPr>
      </w:pPr>
      <w:r>
        <w:rPr>
          <w:rFonts w:ascii="Times New Roman" w:cs="Times New Roman" w:eastAsia="Times New Roman" w:hAnsi="Times New Roman"/>
          <w:sz w:val="18"/>
          <w:szCs w:val="18"/>
          <w:color w:val="auto"/>
        </w:rPr>
        <w:t>10.31</w:t>
        <w:tab/>
        <w:t>Tax Sharing Agreement, dated as of September 29, 2017, by and between IAC/InterActiveCorp and ANGI Homeservices Inc.</w:t>
      </w:r>
    </w:p>
    <w:p>
      <w:pPr>
        <w:spacing w:after="0" w:line="14" w:lineRule="exact"/>
        <w:rPr>
          <w:sz w:val="20"/>
          <w:szCs w:val="20"/>
          <w:color w:val="auto"/>
        </w:rPr>
      </w:pPr>
    </w:p>
    <w:p>
      <w:pPr>
        <w:ind w:left="460" w:right="840" w:hanging="548"/>
        <w:spacing w:after="0" w:line="266" w:lineRule="auto"/>
        <w:tabs>
          <w:tab w:leader="none" w:pos="440" w:val="left"/>
        </w:tabs>
        <w:rPr>
          <w:sz w:val="20"/>
          <w:szCs w:val="20"/>
          <w:color w:val="auto"/>
        </w:rPr>
      </w:pPr>
      <w:r>
        <w:rPr>
          <w:rFonts w:ascii="Times New Roman" w:cs="Times New Roman" w:eastAsia="Times New Roman" w:hAnsi="Times New Roman"/>
          <w:sz w:val="18"/>
          <w:szCs w:val="18"/>
          <w:color w:val="auto"/>
        </w:rPr>
        <w:t>10.32</w:t>
        <w:tab/>
        <w:t>Services Agreement, dated as of September 29, 2017, by and between IAC/InterActiveCorp and ANGI Homeservices Inc.(1)</w:t>
      </w:r>
    </w:p>
    <w:p>
      <w:pPr>
        <w:spacing w:after="0" w:line="14"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u w:val="single" w:color="auto"/>
          <w:color w:val="0000FF"/>
        </w:rPr>
        <w:t>19.1</w:t>
      </w:r>
      <w:r>
        <w:rPr>
          <w:sz w:val="20"/>
          <w:szCs w:val="20"/>
          <w:color w:val="auto"/>
        </w:rPr>
        <w:tab/>
      </w:r>
      <w:r>
        <w:rPr>
          <w:rFonts w:ascii="Times New Roman" w:cs="Times New Roman" w:eastAsia="Times New Roman" w:hAnsi="Times New Roman"/>
          <w:sz w:val="17"/>
          <w:szCs w:val="17"/>
          <w:color w:val="auto"/>
        </w:rPr>
        <w:t>IAC Inc. Securities Trading Policy.(3)</w:t>
      </w:r>
    </w:p>
    <w:p>
      <w:pPr>
        <w:spacing w:after="0" w:line="2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u w:val="single" w:color="auto"/>
          <w:color w:val="0000FF"/>
        </w:rPr>
        <w:t>21.1</w:t>
      </w:r>
      <w:r>
        <w:rPr>
          <w:sz w:val="20"/>
          <w:szCs w:val="20"/>
          <w:color w:val="auto"/>
        </w:rPr>
        <w:tab/>
      </w:r>
      <w:r>
        <w:rPr>
          <w:rFonts w:ascii="Times New Roman" w:cs="Times New Roman" w:eastAsia="Times New Roman" w:hAnsi="Times New Roman"/>
          <w:sz w:val="18"/>
          <w:szCs w:val="18"/>
          <w:color w:val="auto"/>
        </w:rPr>
        <w:t>Subsidiaries of the Registrant as of December 31, 2024.(3)</w:t>
      </w:r>
    </w:p>
    <w:p>
      <w:pPr>
        <w:spacing w:after="0" w:line="23"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u w:val="single" w:color="auto"/>
          <w:color w:val="0000FF"/>
        </w:rPr>
        <w:t>23.1</w:t>
      </w:r>
      <w:r>
        <w:rPr>
          <w:sz w:val="20"/>
          <w:szCs w:val="20"/>
          <w:color w:val="auto"/>
        </w:rPr>
        <w:tab/>
      </w:r>
      <w:r>
        <w:rPr>
          <w:rFonts w:ascii="Times New Roman" w:cs="Times New Roman" w:eastAsia="Times New Roman" w:hAnsi="Times New Roman"/>
          <w:sz w:val="17"/>
          <w:szCs w:val="17"/>
          <w:color w:val="auto"/>
        </w:rPr>
        <w:t>Consent of Ernst &amp; Young LLP.(3)</w:t>
      </w:r>
    </w:p>
    <w:p>
      <w:pPr>
        <w:spacing w:after="0" w:line="23"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u w:val="single" w:color="auto"/>
          <w:color w:val="0000FF"/>
        </w:rPr>
        <w:t>23.2</w:t>
      </w:r>
      <w:r>
        <w:rPr>
          <w:sz w:val="20"/>
          <w:szCs w:val="20"/>
          <w:color w:val="auto"/>
        </w:rPr>
        <w:tab/>
      </w:r>
      <w:r>
        <w:rPr>
          <w:rFonts w:ascii="Times New Roman" w:cs="Times New Roman" w:eastAsia="Times New Roman" w:hAnsi="Times New Roman"/>
          <w:sz w:val="17"/>
          <w:szCs w:val="17"/>
          <w:color w:val="auto"/>
        </w:rPr>
        <w:t>Consent of Deloitte &amp; Touche LLP.(3)</w:t>
      </w:r>
    </w:p>
    <w:p>
      <w:pPr>
        <w:spacing w:after="0" w:line="6"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u w:val="single" w:color="auto"/>
          <w:color w:val="0000FF"/>
        </w:rPr>
        <w:t>31.1</w:t>
      </w:r>
      <w:r>
        <w:rPr>
          <w:sz w:val="20"/>
          <w:szCs w:val="20"/>
          <w:color w:val="auto"/>
        </w:rPr>
        <w:tab/>
      </w:r>
      <w:r>
        <w:rPr>
          <w:rFonts w:ascii="Times New Roman" w:cs="Times New Roman" w:eastAsia="Times New Roman" w:hAnsi="Times New Roman"/>
          <w:sz w:val="17"/>
          <w:szCs w:val="17"/>
          <w:color w:val="auto"/>
        </w:rPr>
        <w:t>Certification of the Chairman and Senior Executive pursuant to Rule 13a-14(a) or</w:t>
      </w:r>
    </w:p>
    <w:p>
      <w:pPr>
        <w:ind w:left="460"/>
        <w:spacing w:after="0" w:line="219" w:lineRule="auto"/>
        <w:rPr>
          <w:sz w:val="20"/>
          <w:szCs w:val="20"/>
          <w:color w:val="auto"/>
        </w:rPr>
      </w:pPr>
      <w:r>
        <w:rPr>
          <w:rFonts w:ascii="Times New Roman" w:cs="Times New Roman" w:eastAsia="Times New Roman" w:hAnsi="Times New Roman"/>
          <w:sz w:val="18"/>
          <w:szCs w:val="18"/>
          <w:color w:val="auto"/>
        </w:rPr>
        <w:t>15d-14(a) of the Securities Exchange Act of 1934, as adopted pursuant to</w:t>
      </w:r>
    </w:p>
    <w:p>
      <w:pPr>
        <w:ind w:left="460"/>
        <w:spacing w:after="0"/>
        <w:rPr>
          <w:sz w:val="20"/>
          <w:szCs w:val="20"/>
          <w:color w:val="auto"/>
        </w:rPr>
      </w:pPr>
      <w:r>
        <w:rPr>
          <w:rFonts w:ascii="Times New Roman" w:cs="Times New Roman" w:eastAsia="Times New Roman" w:hAnsi="Times New Roman"/>
          <w:sz w:val="18"/>
          <w:szCs w:val="18"/>
          <w:color w:val="auto"/>
        </w:rPr>
        <w:t>Section 302 of the Sarbanes-Oxley Act of 2002.(3)</w:t>
      </w:r>
    </w:p>
    <w:p>
      <w:pPr>
        <w:spacing w:after="0" w:line="7" w:lineRule="exact"/>
        <w:rPr>
          <w:sz w:val="20"/>
          <w:szCs w:val="20"/>
          <w:color w:val="auto"/>
        </w:rPr>
      </w:pPr>
    </w:p>
    <w:p>
      <w:pPr>
        <w:ind w:left="460" w:right="20" w:hanging="458"/>
        <w:spacing w:after="0" w:line="220" w:lineRule="auto"/>
        <w:tabs>
          <w:tab w:leader="none" w:pos="440" w:val="left"/>
        </w:tabs>
        <w:rPr>
          <w:sz w:val="20"/>
          <w:szCs w:val="20"/>
          <w:color w:val="auto"/>
        </w:rPr>
      </w:pPr>
      <w:r>
        <w:rPr>
          <w:rFonts w:ascii="Times New Roman" w:cs="Times New Roman" w:eastAsia="Times New Roman" w:hAnsi="Times New Roman"/>
          <w:sz w:val="18"/>
          <w:szCs w:val="18"/>
          <w:u w:val="single" w:color="auto"/>
          <w:color w:val="0000FF"/>
        </w:rPr>
        <w:t>31.2</w:t>
      </w:r>
      <w:r>
        <w:rPr>
          <w:sz w:val="20"/>
          <w:szCs w:val="20"/>
          <w:color w:val="auto"/>
        </w:rPr>
        <w:tab/>
      </w:r>
      <w:r>
        <w:rPr>
          <w:rFonts w:ascii="Times New Roman" w:cs="Times New Roman" w:eastAsia="Times New Roman" w:hAnsi="Times New Roman"/>
          <w:sz w:val="18"/>
          <w:szCs w:val="18"/>
          <w:color w:val="auto"/>
        </w:rPr>
        <w:t>Certification of the Chief Executive Officer pursuant to Rule 13a-14(a) or 15d-14(a) of the Securities Exchange Act of 1934, as adopted pursuant to Section 302</w:t>
      </w:r>
    </w:p>
    <w:p>
      <w:pPr>
        <w:ind w:left="460"/>
        <w:spacing w:after="0"/>
        <w:rPr>
          <w:sz w:val="20"/>
          <w:szCs w:val="20"/>
          <w:color w:val="auto"/>
        </w:rPr>
      </w:pPr>
      <w:r>
        <w:rPr>
          <w:rFonts w:ascii="Times New Roman" w:cs="Times New Roman" w:eastAsia="Times New Roman" w:hAnsi="Times New Roman"/>
          <w:sz w:val="18"/>
          <w:szCs w:val="18"/>
          <w:color w:val="auto"/>
        </w:rPr>
        <w:t>of the Sarbanes-Oxley Act of 2002.(3)</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73025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20"/>
        <w:spacing w:after="0" w:line="263" w:lineRule="auto"/>
        <w:rPr>
          <w:rFonts w:ascii="Times New Roman" w:cs="Times New Roman" w:eastAsia="Times New Roman" w:hAnsi="Times New Roman"/>
          <w:sz w:val="17"/>
          <w:szCs w:val="17"/>
          <w:color w:val="0000FF"/>
        </w:rPr>
      </w:pPr>
      <w:hyperlink r:id="rId237">
        <w:r>
          <w:rPr>
            <w:rFonts w:ascii="Times New Roman" w:cs="Times New Roman" w:eastAsia="Times New Roman" w:hAnsi="Times New Roman"/>
            <w:sz w:val="17"/>
            <w:szCs w:val="17"/>
            <w:u w:val="single" w:color="auto"/>
            <w:color w:val="0000FF"/>
          </w:rPr>
          <w:t>Filed as Exhibit 10.25 to IAC's Annual Report on Form</w:t>
        </w:r>
      </w:hyperlink>
      <w:r>
        <w:rPr>
          <w:rFonts w:ascii="Times New Roman" w:cs="Times New Roman" w:eastAsia="Times New Roman" w:hAnsi="Times New Roman"/>
          <w:sz w:val="17"/>
          <w:szCs w:val="17"/>
          <w:u w:val="single" w:color="auto"/>
          <w:color w:val="0000FF"/>
        </w:rPr>
        <w:t xml:space="preserve"> </w:t>
      </w:r>
      <w:hyperlink r:id="rId237">
        <w:r>
          <w:rPr>
            <w:rFonts w:ascii="Times New Roman" w:cs="Times New Roman" w:eastAsia="Times New Roman" w:hAnsi="Times New Roman"/>
            <w:sz w:val="17"/>
            <w:szCs w:val="17"/>
            <w:u w:val="single" w:color="auto"/>
            <w:color w:val="0000FF"/>
          </w:rPr>
          <w:t>10-K for the fiscal year ended December 31, 2023</w:t>
        </w:r>
        <w:r>
          <w:rPr>
            <w:rFonts w:ascii="Times New Roman" w:cs="Times New Roman" w:eastAsia="Times New Roman" w:hAnsi="Times New Roman"/>
            <w:sz w:val="17"/>
            <w:szCs w:val="17"/>
            <w:color w:val="000000"/>
          </w:rPr>
          <w:t>.</w:t>
        </w:r>
      </w:hyperlink>
    </w:p>
    <w:p>
      <w:pPr>
        <w:spacing w:after="0" w:line="166" w:lineRule="exact"/>
        <w:rPr>
          <w:sz w:val="20"/>
          <w:szCs w:val="20"/>
          <w:color w:val="auto"/>
        </w:rPr>
      </w:pPr>
    </w:p>
    <w:p>
      <w:pPr>
        <w:spacing w:after="0" w:line="222" w:lineRule="auto"/>
        <w:rPr>
          <w:rFonts w:ascii="Times New Roman" w:cs="Times New Roman" w:eastAsia="Times New Roman" w:hAnsi="Times New Roman"/>
          <w:sz w:val="18"/>
          <w:szCs w:val="18"/>
          <w:u w:val="single" w:color="auto"/>
          <w:color w:val="0000FF"/>
        </w:rPr>
      </w:pPr>
      <w:hyperlink r:id="rId238">
        <w:r>
          <w:rPr>
            <w:rFonts w:ascii="Times New Roman" w:cs="Times New Roman" w:eastAsia="Times New Roman" w:hAnsi="Times New Roman"/>
            <w:sz w:val="18"/>
            <w:szCs w:val="18"/>
            <w:u w:val="single" w:color="auto"/>
            <w:color w:val="0000FF"/>
          </w:rPr>
          <w:t>Filed as Exhibit 10.26 to IAC/InterActiveCorp's Annual</w:t>
        </w:r>
      </w:hyperlink>
      <w:r>
        <w:rPr>
          <w:rFonts w:ascii="Times New Roman" w:cs="Times New Roman" w:eastAsia="Times New Roman" w:hAnsi="Times New Roman"/>
          <w:sz w:val="18"/>
          <w:szCs w:val="18"/>
          <w:u w:val="single" w:color="auto"/>
          <w:color w:val="0000FF"/>
        </w:rPr>
        <w:t xml:space="preserve"> </w:t>
      </w:r>
      <w:hyperlink r:id="rId238">
        <w:r>
          <w:rPr>
            <w:rFonts w:ascii="Times New Roman" w:cs="Times New Roman" w:eastAsia="Times New Roman" w:hAnsi="Times New Roman"/>
            <w:sz w:val="18"/>
            <w:szCs w:val="18"/>
            <w:u w:val="single" w:color="auto"/>
            <w:color w:val="0000FF"/>
          </w:rPr>
          <w:t>Report on Form 10-K for the fiscal year ended</w:t>
        </w:r>
      </w:hyperlink>
    </w:p>
    <w:p>
      <w:pPr>
        <w:spacing w:after="0" w:line="2" w:lineRule="exact"/>
        <w:rPr>
          <w:sz w:val="20"/>
          <w:szCs w:val="20"/>
          <w:color w:val="auto"/>
        </w:rPr>
      </w:pPr>
    </w:p>
    <w:p>
      <w:pPr>
        <w:spacing w:after="0"/>
        <w:rPr>
          <w:rFonts w:ascii="Times New Roman" w:cs="Times New Roman" w:eastAsia="Times New Roman" w:hAnsi="Times New Roman"/>
          <w:sz w:val="18"/>
          <w:szCs w:val="18"/>
          <w:color w:val="0000FF"/>
        </w:rPr>
      </w:pPr>
      <w:hyperlink r:id="rId238">
        <w:r>
          <w:rPr>
            <w:rFonts w:ascii="Times New Roman" w:cs="Times New Roman" w:eastAsia="Times New Roman" w:hAnsi="Times New Roman"/>
            <w:sz w:val="18"/>
            <w:szCs w:val="18"/>
            <w:u w:val="single" w:color="auto"/>
            <w:color w:val="0000FF"/>
          </w:rPr>
          <w:t>December 31, 2023</w:t>
        </w:r>
        <w:r>
          <w:rPr>
            <w:rFonts w:ascii="Times New Roman" w:cs="Times New Roman" w:eastAsia="Times New Roman" w:hAnsi="Times New Roman"/>
            <w:sz w:val="18"/>
            <w:szCs w:val="18"/>
            <w:color w:val="000000"/>
          </w:rPr>
          <w:t>.</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60"/>
        <w:spacing w:after="0" w:line="237" w:lineRule="auto"/>
        <w:rPr>
          <w:rFonts w:ascii="Times New Roman" w:cs="Times New Roman" w:eastAsia="Times New Roman" w:hAnsi="Times New Roman"/>
          <w:sz w:val="18"/>
          <w:szCs w:val="18"/>
          <w:color w:val="0000FF"/>
        </w:rPr>
      </w:pPr>
      <w:hyperlink r:id="rId239">
        <w:r>
          <w:rPr>
            <w:rFonts w:ascii="Times New Roman" w:cs="Times New Roman" w:eastAsia="Times New Roman" w:hAnsi="Times New Roman"/>
            <w:sz w:val="18"/>
            <w:szCs w:val="18"/>
            <w:u w:val="single" w:color="auto"/>
            <w:color w:val="0000FF"/>
          </w:rPr>
          <w:t>Filed as Exhibit 10.2 to IAC/InterActiveCorp's Current</w:t>
        </w:r>
      </w:hyperlink>
      <w:r>
        <w:rPr>
          <w:rFonts w:ascii="Times New Roman" w:cs="Times New Roman" w:eastAsia="Times New Roman" w:hAnsi="Times New Roman"/>
          <w:sz w:val="18"/>
          <w:szCs w:val="18"/>
          <w:u w:val="single" w:color="auto"/>
          <w:color w:val="0000FF"/>
        </w:rPr>
        <w:t xml:space="preserve"> </w:t>
      </w:r>
      <w:hyperlink r:id="rId239">
        <w:r>
          <w:rPr>
            <w:rFonts w:ascii="Times New Roman" w:cs="Times New Roman" w:eastAsia="Times New Roman" w:hAnsi="Times New Roman"/>
            <w:sz w:val="18"/>
            <w:szCs w:val="18"/>
            <w:u w:val="single" w:color="auto"/>
            <w:color w:val="0000FF"/>
          </w:rPr>
          <w:t>Report on Form 8-K, filed on May 28, 2021</w:t>
        </w:r>
        <w:r>
          <w:rPr>
            <w:rFonts w:ascii="Times New Roman" w:cs="Times New Roman" w:eastAsia="Times New Roman" w:hAnsi="Times New Roman"/>
            <w:sz w:val="18"/>
            <w:szCs w:val="18"/>
            <w:color w:val="000000"/>
          </w:rPr>
          <w:t>.</w:t>
        </w:r>
      </w:hyperlink>
    </w:p>
    <w:p>
      <w:pPr>
        <w:spacing w:after="0" w:line="64" w:lineRule="exact"/>
        <w:rPr>
          <w:sz w:val="20"/>
          <w:szCs w:val="20"/>
          <w:color w:val="auto"/>
        </w:rPr>
      </w:pPr>
    </w:p>
    <w:p>
      <w:pPr>
        <w:ind w:right="60"/>
        <w:spacing w:after="0" w:line="237" w:lineRule="auto"/>
        <w:rPr>
          <w:rFonts w:ascii="Times New Roman" w:cs="Times New Roman" w:eastAsia="Times New Roman" w:hAnsi="Times New Roman"/>
          <w:sz w:val="18"/>
          <w:szCs w:val="18"/>
          <w:color w:val="0000FF"/>
        </w:rPr>
      </w:pPr>
      <w:hyperlink r:id="rId240">
        <w:r>
          <w:rPr>
            <w:rFonts w:ascii="Times New Roman" w:cs="Times New Roman" w:eastAsia="Times New Roman" w:hAnsi="Times New Roman"/>
            <w:sz w:val="18"/>
            <w:szCs w:val="18"/>
            <w:u w:val="single" w:color="auto"/>
            <w:color w:val="0000FF"/>
          </w:rPr>
          <w:t>Filed as Exhibit 10.3 to IAC/InterActiveCorp's Current</w:t>
        </w:r>
      </w:hyperlink>
      <w:r>
        <w:rPr>
          <w:rFonts w:ascii="Times New Roman" w:cs="Times New Roman" w:eastAsia="Times New Roman" w:hAnsi="Times New Roman"/>
          <w:sz w:val="18"/>
          <w:szCs w:val="18"/>
          <w:u w:val="single" w:color="auto"/>
          <w:color w:val="0000FF"/>
        </w:rPr>
        <w:t xml:space="preserve"> </w:t>
      </w:r>
      <w:hyperlink r:id="rId240">
        <w:r>
          <w:rPr>
            <w:rFonts w:ascii="Times New Roman" w:cs="Times New Roman" w:eastAsia="Times New Roman" w:hAnsi="Times New Roman"/>
            <w:sz w:val="18"/>
            <w:szCs w:val="18"/>
            <w:u w:val="single" w:color="auto"/>
            <w:color w:val="0000FF"/>
          </w:rPr>
          <w:t>Report on Form 8-K, filed on May 28, 2021</w:t>
        </w:r>
        <w:r>
          <w:rPr>
            <w:rFonts w:ascii="Times New Roman" w:cs="Times New Roman" w:eastAsia="Times New Roman" w:hAnsi="Times New Roman"/>
            <w:sz w:val="18"/>
            <w:szCs w:val="18"/>
            <w:color w:val="000000"/>
          </w:rPr>
          <w:t>.</w:t>
        </w:r>
      </w:hyperlink>
    </w:p>
    <w:p>
      <w:pPr>
        <w:spacing w:after="0" w:line="64" w:lineRule="exact"/>
        <w:rPr>
          <w:sz w:val="20"/>
          <w:szCs w:val="20"/>
          <w:color w:val="auto"/>
        </w:rPr>
      </w:pPr>
    </w:p>
    <w:p>
      <w:pPr>
        <w:ind w:right="60"/>
        <w:spacing w:after="0" w:line="237" w:lineRule="auto"/>
        <w:rPr>
          <w:rFonts w:ascii="Times New Roman" w:cs="Times New Roman" w:eastAsia="Times New Roman" w:hAnsi="Times New Roman"/>
          <w:sz w:val="18"/>
          <w:szCs w:val="18"/>
          <w:color w:val="0000FF"/>
        </w:rPr>
      </w:pPr>
      <w:hyperlink r:id="rId241">
        <w:r>
          <w:rPr>
            <w:rFonts w:ascii="Times New Roman" w:cs="Times New Roman" w:eastAsia="Times New Roman" w:hAnsi="Times New Roman"/>
            <w:sz w:val="18"/>
            <w:szCs w:val="18"/>
            <w:u w:val="single" w:color="auto"/>
            <w:color w:val="0000FF"/>
          </w:rPr>
          <w:t>Filed as Exhibit 10.3 to IAC/InterActiveCorp's Current</w:t>
        </w:r>
      </w:hyperlink>
      <w:r>
        <w:rPr>
          <w:rFonts w:ascii="Times New Roman" w:cs="Times New Roman" w:eastAsia="Times New Roman" w:hAnsi="Times New Roman"/>
          <w:sz w:val="18"/>
          <w:szCs w:val="18"/>
          <w:u w:val="single" w:color="auto"/>
          <w:color w:val="0000FF"/>
        </w:rPr>
        <w:t xml:space="preserve"> </w:t>
      </w:r>
      <w:hyperlink r:id="rId241">
        <w:r>
          <w:rPr>
            <w:rFonts w:ascii="Times New Roman" w:cs="Times New Roman" w:eastAsia="Times New Roman" w:hAnsi="Times New Roman"/>
            <w:sz w:val="18"/>
            <w:szCs w:val="18"/>
            <w:u w:val="single" w:color="auto"/>
            <w:color w:val="0000FF"/>
          </w:rPr>
          <w:t>Report on Form 8-K, filed on July 2, 2020</w:t>
        </w:r>
        <w:r>
          <w:rPr>
            <w:rFonts w:ascii="Times New Roman" w:cs="Times New Roman" w:eastAsia="Times New Roman" w:hAnsi="Times New Roman"/>
            <w:sz w:val="18"/>
            <w:szCs w:val="18"/>
            <w:color w:val="000000"/>
          </w:rPr>
          <w:t>.</w:t>
        </w:r>
      </w:hyperlink>
    </w:p>
    <w:p>
      <w:pPr>
        <w:spacing w:after="0" w:line="64" w:lineRule="exact"/>
        <w:rPr>
          <w:sz w:val="20"/>
          <w:szCs w:val="20"/>
          <w:color w:val="auto"/>
        </w:rPr>
      </w:pPr>
    </w:p>
    <w:p>
      <w:pPr>
        <w:ind w:right="40"/>
        <w:spacing w:after="0" w:line="237" w:lineRule="auto"/>
        <w:rPr>
          <w:rFonts w:ascii="Times New Roman" w:cs="Times New Roman" w:eastAsia="Times New Roman" w:hAnsi="Times New Roman"/>
          <w:sz w:val="18"/>
          <w:szCs w:val="18"/>
          <w:color w:val="0000FF"/>
        </w:rPr>
      </w:pPr>
      <w:hyperlink r:id="rId242">
        <w:r>
          <w:rPr>
            <w:rFonts w:ascii="Times New Roman" w:cs="Times New Roman" w:eastAsia="Times New Roman" w:hAnsi="Times New Roman"/>
            <w:sz w:val="18"/>
            <w:szCs w:val="18"/>
            <w:u w:val="single" w:color="auto"/>
            <w:color w:val="0000FF"/>
          </w:rPr>
          <w:t>Filed as Exhibit 10.2 to IAC/InterActiveCorp’s Current</w:t>
        </w:r>
      </w:hyperlink>
      <w:r>
        <w:rPr>
          <w:rFonts w:ascii="Times New Roman" w:cs="Times New Roman" w:eastAsia="Times New Roman" w:hAnsi="Times New Roman"/>
          <w:sz w:val="18"/>
          <w:szCs w:val="18"/>
          <w:u w:val="single" w:color="auto"/>
          <w:color w:val="0000FF"/>
        </w:rPr>
        <w:t xml:space="preserve"> </w:t>
      </w:r>
      <w:hyperlink r:id="rId242">
        <w:r>
          <w:rPr>
            <w:rFonts w:ascii="Times New Roman" w:cs="Times New Roman" w:eastAsia="Times New Roman" w:hAnsi="Times New Roman"/>
            <w:sz w:val="18"/>
            <w:szCs w:val="18"/>
            <w:u w:val="single" w:color="auto"/>
            <w:color w:val="0000FF"/>
          </w:rPr>
          <w:t>Report on Form 8-K, filed on July 2, 2020</w:t>
        </w:r>
        <w:r>
          <w:rPr>
            <w:rFonts w:ascii="Times New Roman" w:cs="Times New Roman" w:eastAsia="Times New Roman" w:hAnsi="Times New Roman"/>
            <w:sz w:val="18"/>
            <w:szCs w:val="18"/>
            <w:color w:val="000000"/>
          </w:rPr>
          <w:t>.</w:t>
        </w:r>
      </w:hyperlink>
    </w:p>
    <w:p>
      <w:pPr>
        <w:spacing w:after="0" w:line="64" w:lineRule="exact"/>
        <w:rPr>
          <w:sz w:val="20"/>
          <w:szCs w:val="20"/>
          <w:color w:val="auto"/>
        </w:rPr>
      </w:pPr>
    </w:p>
    <w:p>
      <w:pPr>
        <w:ind w:right="280"/>
        <w:spacing w:after="0" w:line="237" w:lineRule="auto"/>
        <w:rPr>
          <w:rFonts w:ascii="Times New Roman" w:cs="Times New Roman" w:eastAsia="Times New Roman" w:hAnsi="Times New Roman"/>
          <w:sz w:val="18"/>
          <w:szCs w:val="18"/>
          <w:color w:val="0000FF"/>
        </w:rPr>
      </w:pPr>
      <w:hyperlink r:id="rId243">
        <w:r>
          <w:rPr>
            <w:rFonts w:ascii="Times New Roman" w:cs="Times New Roman" w:eastAsia="Times New Roman" w:hAnsi="Times New Roman"/>
            <w:sz w:val="18"/>
            <w:szCs w:val="18"/>
            <w:u w:val="single" w:color="auto"/>
            <w:color w:val="0000FF"/>
          </w:rPr>
          <w:t>Filed as Exhibit 2.1 to Old IAC’s Current Report on</w:t>
        </w:r>
      </w:hyperlink>
      <w:r>
        <w:rPr>
          <w:rFonts w:ascii="Times New Roman" w:cs="Times New Roman" w:eastAsia="Times New Roman" w:hAnsi="Times New Roman"/>
          <w:sz w:val="18"/>
          <w:szCs w:val="18"/>
          <w:u w:val="single" w:color="auto"/>
          <w:color w:val="0000FF"/>
        </w:rPr>
        <w:t xml:space="preserve"> </w:t>
      </w:r>
      <w:hyperlink r:id="rId243">
        <w:r>
          <w:rPr>
            <w:rFonts w:ascii="Times New Roman" w:cs="Times New Roman" w:eastAsia="Times New Roman" w:hAnsi="Times New Roman"/>
            <w:sz w:val="18"/>
            <w:szCs w:val="18"/>
            <w:u w:val="single" w:color="auto"/>
            <w:color w:val="0000FF"/>
          </w:rPr>
          <w:t>Form 8-K, filed on October 2, 2017</w:t>
        </w:r>
        <w:r>
          <w:rPr>
            <w:rFonts w:ascii="Times New Roman" w:cs="Times New Roman" w:eastAsia="Times New Roman" w:hAnsi="Times New Roman"/>
            <w:sz w:val="18"/>
            <w:szCs w:val="18"/>
            <w:color w:val="000000"/>
          </w:rPr>
          <w:t>.</w:t>
        </w:r>
      </w:hyperlink>
    </w:p>
    <w:p>
      <w:pPr>
        <w:spacing w:after="0" w:line="64" w:lineRule="exact"/>
        <w:rPr>
          <w:sz w:val="20"/>
          <w:szCs w:val="20"/>
          <w:color w:val="auto"/>
        </w:rPr>
      </w:pPr>
    </w:p>
    <w:p>
      <w:pPr>
        <w:ind w:right="280"/>
        <w:spacing w:after="0" w:line="237" w:lineRule="auto"/>
        <w:rPr>
          <w:rFonts w:ascii="Times New Roman" w:cs="Times New Roman" w:eastAsia="Times New Roman" w:hAnsi="Times New Roman"/>
          <w:sz w:val="18"/>
          <w:szCs w:val="18"/>
          <w:color w:val="0000FF"/>
        </w:rPr>
      </w:pPr>
      <w:hyperlink r:id="rId244">
        <w:r>
          <w:rPr>
            <w:rFonts w:ascii="Times New Roman" w:cs="Times New Roman" w:eastAsia="Times New Roman" w:hAnsi="Times New Roman"/>
            <w:sz w:val="18"/>
            <w:szCs w:val="18"/>
            <w:u w:val="single" w:color="auto"/>
            <w:color w:val="0000FF"/>
          </w:rPr>
          <w:t>Filed as Exhibit 2.5 to Old IAC’s Current Report on</w:t>
        </w:r>
      </w:hyperlink>
      <w:r>
        <w:rPr>
          <w:rFonts w:ascii="Times New Roman" w:cs="Times New Roman" w:eastAsia="Times New Roman" w:hAnsi="Times New Roman"/>
          <w:sz w:val="18"/>
          <w:szCs w:val="18"/>
          <w:u w:val="single" w:color="auto"/>
          <w:color w:val="0000FF"/>
        </w:rPr>
        <w:t xml:space="preserve"> </w:t>
      </w:r>
      <w:hyperlink r:id="rId244">
        <w:r>
          <w:rPr>
            <w:rFonts w:ascii="Times New Roman" w:cs="Times New Roman" w:eastAsia="Times New Roman" w:hAnsi="Times New Roman"/>
            <w:sz w:val="18"/>
            <w:szCs w:val="18"/>
            <w:u w:val="single" w:color="auto"/>
            <w:color w:val="0000FF"/>
          </w:rPr>
          <w:t>Form 8-K, filed on October 2, 2017</w:t>
        </w:r>
        <w:r>
          <w:rPr>
            <w:rFonts w:ascii="Times New Roman" w:cs="Times New Roman" w:eastAsia="Times New Roman" w:hAnsi="Times New Roman"/>
            <w:sz w:val="18"/>
            <w:szCs w:val="18"/>
            <w:color w:val="000000"/>
          </w:rPr>
          <w:t>.</w:t>
        </w:r>
      </w:hyperlink>
    </w:p>
    <w:p>
      <w:pPr>
        <w:spacing w:after="0" w:line="64" w:lineRule="exact"/>
        <w:rPr>
          <w:sz w:val="20"/>
          <w:szCs w:val="20"/>
          <w:color w:val="auto"/>
        </w:rPr>
      </w:pPr>
    </w:p>
    <w:p>
      <w:pPr>
        <w:ind w:right="280"/>
        <w:spacing w:after="0" w:line="237" w:lineRule="auto"/>
        <w:rPr>
          <w:rFonts w:ascii="Times New Roman" w:cs="Times New Roman" w:eastAsia="Times New Roman" w:hAnsi="Times New Roman"/>
          <w:sz w:val="18"/>
          <w:szCs w:val="18"/>
          <w:color w:val="0000FF"/>
        </w:rPr>
      </w:pPr>
      <w:hyperlink r:id="rId245">
        <w:r>
          <w:rPr>
            <w:rFonts w:ascii="Times New Roman" w:cs="Times New Roman" w:eastAsia="Times New Roman" w:hAnsi="Times New Roman"/>
            <w:sz w:val="18"/>
            <w:szCs w:val="18"/>
            <w:u w:val="single" w:color="auto"/>
            <w:color w:val="0000FF"/>
          </w:rPr>
          <w:t>Filed as Exhibit 2.2 to Old IAC’s Current Report on</w:t>
        </w:r>
      </w:hyperlink>
      <w:r>
        <w:rPr>
          <w:rFonts w:ascii="Times New Roman" w:cs="Times New Roman" w:eastAsia="Times New Roman" w:hAnsi="Times New Roman"/>
          <w:sz w:val="18"/>
          <w:szCs w:val="18"/>
          <w:u w:val="single" w:color="auto"/>
          <w:color w:val="0000FF"/>
        </w:rPr>
        <w:t xml:space="preserve"> </w:t>
      </w:r>
      <w:hyperlink r:id="rId245">
        <w:r>
          <w:rPr>
            <w:rFonts w:ascii="Times New Roman" w:cs="Times New Roman" w:eastAsia="Times New Roman" w:hAnsi="Times New Roman"/>
            <w:sz w:val="18"/>
            <w:szCs w:val="18"/>
            <w:u w:val="single" w:color="auto"/>
            <w:color w:val="0000FF"/>
          </w:rPr>
          <w:t>Form 8-K, filed on October 2, 2017</w:t>
        </w:r>
        <w:r>
          <w:rPr>
            <w:rFonts w:ascii="Times New Roman" w:cs="Times New Roman" w:eastAsia="Times New Roman" w:hAnsi="Times New Roman"/>
            <w:sz w:val="18"/>
            <w:szCs w:val="18"/>
            <w:color w:val="000000"/>
          </w:rPr>
          <w:t>.</w:t>
        </w:r>
      </w:hyperlink>
    </w:p>
    <w:p>
      <w:pPr>
        <w:spacing w:after="0" w:line="64" w:lineRule="exact"/>
        <w:rPr>
          <w:sz w:val="20"/>
          <w:szCs w:val="20"/>
          <w:color w:val="auto"/>
        </w:rPr>
      </w:pPr>
    </w:p>
    <w:p>
      <w:pPr>
        <w:ind w:right="280"/>
        <w:spacing w:after="0" w:line="237" w:lineRule="auto"/>
        <w:rPr>
          <w:rFonts w:ascii="Times New Roman" w:cs="Times New Roman" w:eastAsia="Times New Roman" w:hAnsi="Times New Roman"/>
          <w:sz w:val="18"/>
          <w:szCs w:val="18"/>
          <w:color w:val="0000FF"/>
        </w:rPr>
      </w:pPr>
      <w:hyperlink r:id="rId246">
        <w:r>
          <w:rPr>
            <w:rFonts w:ascii="Times New Roman" w:cs="Times New Roman" w:eastAsia="Times New Roman" w:hAnsi="Times New Roman"/>
            <w:sz w:val="18"/>
            <w:szCs w:val="18"/>
            <w:u w:val="single" w:color="auto"/>
            <w:color w:val="0000FF"/>
          </w:rPr>
          <w:t>Filed as Exhibit 2.4 to Old IAC’s Current Report on</w:t>
        </w:r>
      </w:hyperlink>
      <w:r>
        <w:rPr>
          <w:rFonts w:ascii="Times New Roman" w:cs="Times New Roman" w:eastAsia="Times New Roman" w:hAnsi="Times New Roman"/>
          <w:sz w:val="18"/>
          <w:szCs w:val="18"/>
          <w:u w:val="single" w:color="auto"/>
          <w:color w:val="0000FF"/>
        </w:rPr>
        <w:t xml:space="preserve"> </w:t>
      </w:r>
      <w:hyperlink r:id="rId246">
        <w:r>
          <w:rPr>
            <w:rFonts w:ascii="Times New Roman" w:cs="Times New Roman" w:eastAsia="Times New Roman" w:hAnsi="Times New Roman"/>
            <w:sz w:val="18"/>
            <w:szCs w:val="18"/>
            <w:u w:val="single" w:color="auto"/>
            <w:color w:val="0000FF"/>
          </w:rPr>
          <w:t>Form 8-K, filed on October 2, 2017</w:t>
        </w:r>
        <w:r>
          <w:rPr>
            <w:rFonts w:ascii="Times New Roman" w:cs="Times New Roman" w:eastAsia="Times New Roman" w:hAnsi="Times New Roman"/>
            <w:sz w:val="18"/>
            <w:szCs w:val="18"/>
            <w:color w:val="000000"/>
          </w:rPr>
          <w:t>.</w:t>
        </w:r>
      </w:hyperlink>
    </w:p>
    <w:p>
      <w:pPr>
        <w:spacing w:after="0" w:line="64" w:lineRule="exact"/>
        <w:rPr>
          <w:sz w:val="20"/>
          <w:szCs w:val="20"/>
          <w:color w:val="auto"/>
        </w:rPr>
      </w:pPr>
    </w:p>
    <w:p>
      <w:pPr>
        <w:ind w:right="280"/>
        <w:spacing w:after="0" w:line="237" w:lineRule="auto"/>
        <w:rPr>
          <w:rFonts w:ascii="Times New Roman" w:cs="Times New Roman" w:eastAsia="Times New Roman" w:hAnsi="Times New Roman"/>
          <w:sz w:val="18"/>
          <w:szCs w:val="18"/>
          <w:color w:val="0000FF"/>
        </w:rPr>
      </w:pPr>
      <w:hyperlink r:id="rId247">
        <w:r>
          <w:rPr>
            <w:rFonts w:ascii="Times New Roman" w:cs="Times New Roman" w:eastAsia="Times New Roman" w:hAnsi="Times New Roman"/>
            <w:sz w:val="18"/>
            <w:szCs w:val="18"/>
            <w:u w:val="single" w:color="auto"/>
            <w:color w:val="0000FF"/>
          </w:rPr>
          <w:t>Filed as Exhibit 2.3 to Old IAC’s Current Report on</w:t>
        </w:r>
      </w:hyperlink>
      <w:r>
        <w:rPr>
          <w:rFonts w:ascii="Times New Roman" w:cs="Times New Roman" w:eastAsia="Times New Roman" w:hAnsi="Times New Roman"/>
          <w:sz w:val="18"/>
          <w:szCs w:val="18"/>
          <w:u w:val="single" w:color="auto"/>
          <w:color w:val="0000FF"/>
        </w:rPr>
        <w:t xml:space="preserve"> </w:t>
      </w:r>
      <w:hyperlink r:id="rId247">
        <w:r>
          <w:rPr>
            <w:rFonts w:ascii="Times New Roman" w:cs="Times New Roman" w:eastAsia="Times New Roman" w:hAnsi="Times New Roman"/>
            <w:sz w:val="18"/>
            <w:szCs w:val="18"/>
            <w:u w:val="single" w:color="auto"/>
            <w:color w:val="0000FF"/>
          </w:rPr>
          <w:t>Form 8-K, filed on October 2, 2017</w:t>
        </w:r>
        <w:r>
          <w:rPr>
            <w:rFonts w:ascii="Times New Roman" w:cs="Times New Roman" w:eastAsia="Times New Roman" w:hAnsi="Times New Roman"/>
            <w:sz w:val="18"/>
            <w:szCs w:val="18"/>
            <w:color w:val="000000"/>
          </w:rPr>
          <w:t>.</w:t>
        </w:r>
      </w:hyperlink>
    </w:p>
    <w:p>
      <w:pPr>
        <w:sectPr>
          <w:pgSz w:w="11900" w:h="16838" w:orient="portrait"/>
          <w:cols w:equalWidth="0" w:num="2">
            <w:col w:w="6340" w:space="180"/>
            <w:col w:w="4020"/>
          </w:cols>
          <w:pgMar w:left="920" w:top="931" w:right="439" w:bottom="1440" w:gutter="0" w:footer="0" w:header="0"/>
        </w:sectPr>
      </w:pPr>
    </w:p>
    <w:bookmarkStart w:id="167" w:name="page168"/>
    <w:bookmarkEnd w:id="167"/>
    <w:tbl>
      <w:tblPr>
        <w:tblLayout w:type="fixed"/>
        <w:tblInd w:w="240" w:type="dxa"/>
        <w:tblCellMar>
          <w:top w:w="0" w:type="dxa"/>
          <w:left w:w="0" w:type="dxa"/>
          <w:bottom w:w="0" w:type="dxa"/>
          <w:right w:w="0" w:type="dxa"/>
        </w:tblCellMar>
      </w:tblPr>
      <w:tr>
        <w:trPr>
          <w:trHeight w:val="207"/>
        </w:trPr>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3</w:t>
            </w:r>
          </w:p>
        </w:tc>
        <w:tc>
          <w:tcPr>
            <w:tcW w:w="5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Certification of the Chief Financial Officer and Chief Operating Officer pursuant</w:t>
            </w:r>
          </w:p>
        </w:tc>
      </w:tr>
      <w:tr>
        <w:trPr>
          <w:trHeight w:val="151"/>
        </w:trPr>
        <w:tc>
          <w:tcPr>
            <w:tcW w:w="36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5960" w:type="dxa"/>
            <w:vAlign w:val="bottom"/>
          </w:tcPr>
          <w:p>
            <w:pPr>
              <w:ind w:left="60"/>
              <w:spacing w:after="0" w:line="150" w:lineRule="exact"/>
              <w:rPr>
                <w:sz w:val="20"/>
                <w:szCs w:val="20"/>
                <w:color w:val="auto"/>
              </w:rPr>
            </w:pPr>
            <w:r>
              <w:rPr>
                <w:rFonts w:ascii="Times New Roman" w:cs="Times New Roman" w:eastAsia="Times New Roman" w:hAnsi="Times New Roman"/>
                <w:sz w:val="17"/>
                <w:szCs w:val="17"/>
                <w:color w:val="auto"/>
              </w:rPr>
              <w:t>to Rule 13a-14(a) or 15d-14(a) of the Securities Exchange Act of 1934, as</w:t>
            </w:r>
          </w:p>
        </w:tc>
      </w:tr>
      <w:tr>
        <w:trPr>
          <w:trHeight w:val="234"/>
        </w:trPr>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adopted pursuant to Section 302 of the Sarbanes-Oxley Act of 2002.(3)</w:t>
            </w:r>
          </w:p>
        </w:tc>
      </w:tr>
      <w:tr>
        <w:trPr>
          <w:trHeight w:val="310"/>
        </w:trPr>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5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Certification of the Chairman and Senior Executive pursuant to 18 U.S.C.</w:t>
            </w:r>
          </w:p>
        </w:tc>
      </w:tr>
      <w:tr>
        <w:trPr>
          <w:trHeight w:val="142"/>
        </w:trPr>
        <w:tc>
          <w:tcPr>
            <w:tcW w:w="360" w:type="dxa"/>
            <w:vAlign w:val="bottom"/>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5960" w:type="dxa"/>
            <w:vAlign w:val="bottom"/>
          </w:tcPr>
          <w:p>
            <w:pPr>
              <w:ind w:left="60"/>
              <w:spacing w:after="0" w:line="142" w:lineRule="exact"/>
              <w:rPr>
                <w:sz w:val="20"/>
                <w:szCs w:val="20"/>
                <w:color w:val="auto"/>
              </w:rPr>
            </w:pPr>
            <w:r>
              <w:rPr>
                <w:rFonts w:ascii="Times New Roman" w:cs="Times New Roman" w:eastAsia="Times New Roman" w:hAnsi="Times New Roman"/>
                <w:sz w:val="16"/>
                <w:szCs w:val="16"/>
                <w:color w:val="auto"/>
              </w:rPr>
              <w:t>Section 1350, as adopted pursuant to Section 906 of the Sarbanes-Oxley Act of</w:t>
            </w:r>
          </w:p>
        </w:tc>
      </w:tr>
      <w:tr>
        <w:trPr>
          <w:trHeight w:val="234"/>
        </w:trPr>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2002.(5)</w:t>
            </w:r>
          </w:p>
        </w:tc>
      </w:tr>
      <w:tr>
        <w:trPr>
          <w:trHeight w:val="198"/>
        </w:trPr>
        <w:tc>
          <w:tcPr>
            <w:tcW w:w="760" w:type="dxa"/>
            <w:vAlign w:val="bottom"/>
            <w:gridSpan w:val="3"/>
          </w:tcPr>
          <w:p>
            <w:pPr>
              <w:jc w:val="right"/>
              <w:ind w:right="80"/>
              <w:spacing w:after="0" w:line="198" w:lineRule="exact"/>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p>
        </w:tc>
        <w:tc>
          <w:tcPr>
            <w:tcW w:w="596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Certification of the Chief Executive Officer pursuant to 18 U.S.C. Section 1350,</w:t>
            </w:r>
          </w:p>
        </w:tc>
      </w:tr>
      <w:tr>
        <w:trPr>
          <w:trHeight w:val="205"/>
        </w:trPr>
        <w:tc>
          <w:tcPr>
            <w:tcW w:w="36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5960" w:type="dxa"/>
            <w:vAlign w:val="bottom"/>
          </w:tcPr>
          <w:p>
            <w:pPr>
              <w:ind w:left="60"/>
              <w:spacing w:after="0" w:line="205" w:lineRule="exact"/>
              <w:rPr>
                <w:sz w:val="20"/>
                <w:szCs w:val="20"/>
                <w:color w:val="auto"/>
              </w:rPr>
            </w:pPr>
            <w:r>
              <w:rPr>
                <w:rFonts w:ascii="Times New Roman" w:cs="Times New Roman" w:eastAsia="Times New Roman" w:hAnsi="Times New Roman"/>
                <w:sz w:val="18"/>
                <w:szCs w:val="18"/>
                <w:color w:val="auto"/>
              </w:rPr>
              <w:t>as adopted pursuant to Section 906 of the Sarbanes-Oxley Act of 2002.(5)</w:t>
            </w:r>
          </w:p>
        </w:tc>
      </w:tr>
      <w:tr>
        <w:trPr>
          <w:trHeight w:val="194"/>
        </w:trPr>
        <w:tc>
          <w:tcPr>
            <w:tcW w:w="760" w:type="dxa"/>
            <w:vAlign w:val="bottom"/>
            <w:gridSpan w:val="3"/>
          </w:tcPr>
          <w:p>
            <w:pPr>
              <w:jc w:val="right"/>
              <w:ind w:right="80"/>
              <w:spacing w:after="0" w:line="194" w:lineRule="exact"/>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3</w:t>
            </w:r>
          </w:p>
        </w:tc>
        <w:tc>
          <w:tcPr>
            <w:tcW w:w="5960" w:type="dxa"/>
            <w:vAlign w:val="bottom"/>
          </w:tcPr>
          <w:p>
            <w:pPr>
              <w:ind w:left="60"/>
              <w:spacing w:after="0" w:line="194" w:lineRule="exact"/>
              <w:rPr>
                <w:sz w:val="20"/>
                <w:szCs w:val="20"/>
                <w:color w:val="auto"/>
              </w:rPr>
            </w:pPr>
            <w:r>
              <w:rPr>
                <w:rFonts w:ascii="Times New Roman" w:cs="Times New Roman" w:eastAsia="Times New Roman" w:hAnsi="Times New Roman"/>
                <w:sz w:val="18"/>
                <w:szCs w:val="18"/>
                <w:color w:val="auto"/>
              </w:rPr>
              <w:t>Certification of the Chief Financial Officer and Chief Operating Officer pursuant</w:t>
            </w:r>
          </w:p>
        </w:tc>
      </w:tr>
      <w:tr>
        <w:trPr>
          <w:trHeight w:val="142"/>
        </w:trPr>
        <w:tc>
          <w:tcPr>
            <w:tcW w:w="360" w:type="dxa"/>
            <w:vAlign w:val="bottom"/>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5960" w:type="dxa"/>
            <w:vAlign w:val="bottom"/>
          </w:tcPr>
          <w:p>
            <w:pPr>
              <w:ind w:left="60"/>
              <w:spacing w:after="0" w:line="142" w:lineRule="exact"/>
              <w:rPr>
                <w:sz w:val="20"/>
                <w:szCs w:val="20"/>
                <w:color w:val="auto"/>
              </w:rPr>
            </w:pPr>
            <w:r>
              <w:rPr>
                <w:rFonts w:ascii="Times New Roman" w:cs="Times New Roman" w:eastAsia="Times New Roman" w:hAnsi="Times New Roman"/>
                <w:sz w:val="16"/>
                <w:szCs w:val="16"/>
                <w:color w:val="auto"/>
              </w:rPr>
              <w:t>to 18 U.S.C. Section 1350, as adopted pursuant to Section 906 of the Sarbanes-</w:t>
            </w:r>
          </w:p>
        </w:tc>
      </w:tr>
      <w:tr>
        <w:trPr>
          <w:trHeight w:val="234"/>
        </w:trPr>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Oxley Act of 2002.(5)</w:t>
            </w:r>
          </w:p>
        </w:tc>
      </w:tr>
      <w:tr>
        <w:trPr>
          <w:trHeight w:val="238"/>
        </w:trPr>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97.1</w:t>
            </w:r>
          </w:p>
        </w:tc>
        <w:tc>
          <w:tcPr>
            <w:tcW w:w="5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IAC Inc. Compensation Clawback Policy.</w:t>
            </w:r>
          </w:p>
        </w:tc>
      </w:tr>
      <w:tr>
        <w:trPr>
          <w:trHeight w:val="364"/>
        </w:trPr>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99.1</w:t>
            </w:r>
          </w:p>
        </w:tc>
        <w:tc>
          <w:tcPr>
            <w:tcW w:w="5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Consolidated Financial Statements of MGM Resorts International, Report of</w:t>
            </w:r>
          </w:p>
        </w:tc>
      </w:tr>
      <w:tr>
        <w:trPr>
          <w:trHeight w:val="176"/>
        </w:trPr>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96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Independent Registered Public Accounting Firm thereon and Notes to such</w:t>
            </w:r>
          </w:p>
        </w:tc>
      </w:tr>
      <w:tr>
        <w:trPr>
          <w:trHeight w:val="184"/>
        </w:trPr>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960" w:type="dxa"/>
            <w:vAlign w:val="bottom"/>
          </w:tcPr>
          <w:p>
            <w:pPr>
              <w:ind w:left="60"/>
              <w:spacing w:after="0" w:line="184" w:lineRule="exact"/>
              <w:rPr>
                <w:sz w:val="20"/>
                <w:szCs w:val="20"/>
                <w:color w:val="auto"/>
              </w:rPr>
            </w:pPr>
            <w:r>
              <w:rPr>
                <w:rFonts w:ascii="Times New Roman" w:cs="Times New Roman" w:eastAsia="Times New Roman" w:hAnsi="Times New Roman"/>
                <w:sz w:val="18"/>
                <w:szCs w:val="18"/>
                <w:color w:val="auto"/>
                <w:w w:val="99"/>
              </w:rPr>
              <w:t>Consolidated Financial Statements - Incorporated by reference to Item 8 of MGM</w:t>
            </w:r>
          </w:p>
        </w:tc>
      </w:tr>
      <w:tr>
        <w:trPr>
          <w:trHeight w:val="180"/>
        </w:trPr>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960" w:type="dxa"/>
            <w:vAlign w:val="bottom"/>
          </w:tcPr>
          <w:p>
            <w:pPr>
              <w:ind w:left="60"/>
              <w:spacing w:after="0" w:line="181" w:lineRule="exact"/>
              <w:rPr>
                <w:sz w:val="20"/>
                <w:szCs w:val="20"/>
                <w:color w:val="auto"/>
              </w:rPr>
            </w:pPr>
            <w:r>
              <w:rPr>
                <w:rFonts w:ascii="Times New Roman" w:cs="Times New Roman" w:eastAsia="Times New Roman" w:hAnsi="Times New Roman"/>
                <w:sz w:val="18"/>
                <w:szCs w:val="18"/>
                <w:color w:val="auto"/>
              </w:rPr>
              <w:t>Resorts International's Annual Report on Form 10-K for the fiscal year ended</w:t>
            </w:r>
          </w:p>
        </w:tc>
      </w:tr>
      <w:tr>
        <w:trPr>
          <w:trHeight w:val="176"/>
        </w:trPr>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96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December 31, 2024 (File No. 001-10362) filed with the Securities and Exchange</w:t>
            </w:r>
          </w:p>
        </w:tc>
      </w:tr>
      <w:tr>
        <w:trPr>
          <w:trHeight w:val="234"/>
        </w:trPr>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Commission on February 18, 2025.</w:t>
            </w:r>
          </w:p>
        </w:tc>
      </w:tr>
      <w:tr>
        <w:trPr>
          <w:trHeight w:val="184"/>
        </w:trPr>
        <w:tc>
          <w:tcPr>
            <w:tcW w:w="760" w:type="dxa"/>
            <w:vAlign w:val="bottom"/>
            <w:gridSpan w:val="3"/>
          </w:tcPr>
          <w:p>
            <w:pPr>
              <w:jc w:val="right"/>
              <w:ind w:right="80"/>
              <w:spacing w:after="0" w:line="184" w:lineRule="exact"/>
              <w:rPr>
                <w:sz w:val="20"/>
                <w:szCs w:val="20"/>
                <w:color w:val="auto"/>
              </w:rPr>
            </w:pPr>
            <w:r>
              <w:rPr>
                <w:rFonts w:ascii="Times New Roman" w:cs="Times New Roman" w:eastAsia="Times New Roman" w:hAnsi="Times New Roman"/>
                <w:sz w:val="18"/>
                <w:szCs w:val="18"/>
                <w:color w:val="auto"/>
              </w:rPr>
              <w:t>101.INS</w:t>
            </w:r>
          </w:p>
        </w:tc>
        <w:tc>
          <w:tcPr>
            <w:tcW w:w="5960" w:type="dxa"/>
            <w:vAlign w:val="bottom"/>
          </w:tcPr>
          <w:p>
            <w:pPr>
              <w:ind w:left="60"/>
              <w:spacing w:after="0" w:line="184" w:lineRule="exact"/>
              <w:rPr>
                <w:sz w:val="20"/>
                <w:szCs w:val="20"/>
                <w:color w:val="auto"/>
              </w:rPr>
            </w:pPr>
            <w:r>
              <w:rPr>
                <w:rFonts w:ascii="Times New Roman" w:cs="Times New Roman" w:eastAsia="Times New Roman" w:hAnsi="Times New Roman"/>
                <w:sz w:val="18"/>
                <w:szCs w:val="18"/>
                <w:color w:val="auto"/>
              </w:rPr>
              <w:t>Inline XBRL Instance (the instance document</w:t>
            </w:r>
          </w:p>
        </w:tc>
      </w:tr>
      <w:tr>
        <w:trPr>
          <w:trHeight w:val="175"/>
        </w:trPr>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96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does not appear in the Interactive Data File because</w:t>
            </w:r>
          </w:p>
        </w:tc>
      </w:tr>
      <w:tr>
        <w:trPr>
          <w:trHeight w:val="184"/>
        </w:trPr>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960" w:type="dxa"/>
            <w:vAlign w:val="bottom"/>
          </w:tcPr>
          <w:p>
            <w:pPr>
              <w:ind w:left="60"/>
              <w:spacing w:after="0" w:line="184" w:lineRule="exact"/>
              <w:rPr>
                <w:sz w:val="20"/>
                <w:szCs w:val="20"/>
                <w:color w:val="auto"/>
              </w:rPr>
            </w:pPr>
            <w:r>
              <w:rPr>
                <w:rFonts w:ascii="Times New Roman" w:cs="Times New Roman" w:eastAsia="Times New Roman" w:hAnsi="Times New Roman"/>
                <w:sz w:val="18"/>
                <w:szCs w:val="18"/>
                <w:color w:val="auto"/>
              </w:rPr>
              <w:t>its XBRL tags are embedded within the Inline XBRL</w:t>
            </w:r>
          </w:p>
        </w:tc>
      </w:tr>
      <w:tr>
        <w:trPr>
          <w:trHeight w:val="230"/>
        </w:trPr>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document)(3)</w:t>
            </w:r>
          </w:p>
        </w:tc>
      </w:tr>
      <w:tr>
        <w:trPr>
          <w:trHeight w:val="229"/>
        </w:trPr>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w w:val="99"/>
              </w:rPr>
              <w:t>101.SCH</w:t>
            </w:r>
          </w:p>
        </w:tc>
        <w:tc>
          <w:tcPr>
            <w:tcW w:w="5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Inline XBRL Taxonomy Extension Schema(3)</w:t>
            </w:r>
          </w:p>
        </w:tc>
      </w:tr>
      <w:tr>
        <w:trPr>
          <w:trHeight w:val="229"/>
        </w:trPr>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w w:val="97"/>
              </w:rPr>
              <w:t>101.CAL</w:t>
            </w:r>
          </w:p>
        </w:tc>
        <w:tc>
          <w:tcPr>
            <w:tcW w:w="5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Inline XBRL Taxonomy Extension Calculation(3)</w:t>
            </w:r>
          </w:p>
        </w:tc>
      </w:tr>
      <w:tr>
        <w:trPr>
          <w:trHeight w:val="230"/>
        </w:trPr>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101.DEF</w:t>
            </w:r>
          </w:p>
        </w:tc>
        <w:tc>
          <w:tcPr>
            <w:tcW w:w="5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Inline XBRL Taxonomy Extension Definition(3)</w:t>
            </w:r>
          </w:p>
        </w:tc>
      </w:tr>
      <w:tr>
        <w:trPr>
          <w:trHeight w:val="229"/>
        </w:trPr>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w w:val="97"/>
              </w:rPr>
              <w:t>101.LAB</w:t>
            </w:r>
          </w:p>
        </w:tc>
        <w:tc>
          <w:tcPr>
            <w:tcW w:w="5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Inline XBRL Taxonomy Extension Labels(3)</w:t>
            </w:r>
          </w:p>
        </w:tc>
      </w:tr>
      <w:tr>
        <w:trPr>
          <w:trHeight w:val="234"/>
        </w:trPr>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101.PRE</w:t>
            </w:r>
          </w:p>
        </w:tc>
        <w:tc>
          <w:tcPr>
            <w:tcW w:w="5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XBRL Taxonomy Extension Presentation(3)</w:t>
            </w:r>
          </w:p>
        </w:tc>
      </w:tr>
    </w:tbl>
    <w:p>
      <w:pPr>
        <w:ind w:left="1060" w:right="320" w:hanging="408"/>
        <w:spacing w:after="0" w:line="234" w:lineRule="auto"/>
        <w:tabs>
          <w:tab w:leader="none" w:pos="10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100"/>
        <w:spacing w:after="0" w:line="256" w:lineRule="auto"/>
        <w:rPr>
          <w:rFonts w:ascii="Times New Roman" w:cs="Times New Roman" w:eastAsia="Times New Roman" w:hAnsi="Times New Roman"/>
          <w:sz w:val="17"/>
          <w:szCs w:val="17"/>
          <w:color w:val="0000FF"/>
        </w:rPr>
      </w:pPr>
      <w:hyperlink r:id="rId248">
        <w:r>
          <w:rPr>
            <w:rFonts w:ascii="Times New Roman" w:cs="Times New Roman" w:eastAsia="Times New Roman" w:hAnsi="Times New Roman"/>
            <w:sz w:val="17"/>
            <w:szCs w:val="17"/>
            <w:u w:val="single" w:color="auto"/>
            <w:color w:val="0000FF"/>
          </w:rPr>
          <w:t>Filed as Exhibit 97.1 to IAC's Annual Report on Form</w:t>
        </w:r>
      </w:hyperlink>
      <w:r>
        <w:rPr>
          <w:rFonts w:ascii="Times New Roman" w:cs="Times New Roman" w:eastAsia="Times New Roman" w:hAnsi="Times New Roman"/>
          <w:sz w:val="17"/>
          <w:szCs w:val="17"/>
          <w:u w:val="single" w:color="auto"/>
          <w:color w:val="0000FF"/>
        </w:rPr>
        <w:t xml:space="preserve"> </w:t>
      </w:r>
      <w:hyperlink r:id="rId248">
        <w:r>
          <w:rPr>
            <w:rFonts w:ascii="Times New Roman" w:cs="Times New Roman" w:eastAsia="Times New Roman" w:hAnsi="Times New Roman"/>
            <w:sz w:val="17"/>
            <w:szCs w:val="17"/>
            <w:u w:val="single" w:color="auto"/>
            <w:color w:val="0000FF"/>
          </w:rPr>
          <w:t>10-K for the fiscal year ended December 31, 2023</w:t>
        </w:r>
        <w:r>
          <w:rPr>
            <w:rFonts w:ascii="Times New Roman" w:cs="Times New Roman" w:eastAsia="Times New Roman" w:hAnsi="Times New Roman"/>
            <w:sz w:val="17"/>
            <w:szCs w:val="17"/>
            <w:color w:val="000000"/>
          </w:rPr>
          <w:t>.</w:t>
        </w:r>
      </w:hyperlink>
    </w:p>
    <w:p>
      <w:pPr>
        <w:spacing w:after="0" w:line="1" w:lineRule="exact"/>
        <w:rPr>
          <w:sz w:val="20"/>
          <w:szCs w:val="20"/>
          <w:color w:val="auto"/>
        </w:rPr>
      </w:pPr>
    </w:p>
    <w:p>
      <w:pPr>
        <w:spacing w:after="0" w:line="229" w:lineRule="auto"/>
        <w:rPr>
          <w:rFonts w:ascii="Times New Roman" w:cs="Times New Roman" w:eastAsia="Times New Roman" w:hAnsi="Times New Roman"/>
          <w:sz w:val="17"/>
          <w:szCs w:val="17"/>
          <w:u w:val="single" w:color="auto"/>
          <w:color w:val="0000FF"/>
        </w:rPr>
      </w:pPr>
      <w:hyperlink r:id="rId249">
        <w:r>
          <w:rPr>
            <w:rFonts w:ascii="Times New Roman" w:cs="Times New Roman" w:eastAsia="Times New Roman" w:hAnsi="Times New Roman"/>
            <w:sz w:val="17"/>
            <w:szCs w:val="17"/>
            <w:u w:val="single" w:color="auto"/>
            <w:color w:val="0000FF"/>
          </w:rPr>
          <w:t>Item 8 of MGM Resorts International's Annual Report</w:t>
        </w:r>
      </w:hyperlink>
      <w:r>
        <w:rPr>
          <w:rFonts w:ascii="Times New Roman" w:cs="Times New Roman" w:eastAsia="Times New Roman" w:hAnsi="Times New Roman"/>
          <w:sz w:val="17"/>
          <w:szCs w:val="17"/>
          <w:u w:val="single" w:color="auto"/>
          <w:color w:val="0000FF"/>
        </w:rPr>
        <w:t xml:space="preserve"> </w:t>
      </w:r>
      <w:hyperlink r:id="rId249">
        <w:r>
          <w:rPr>
            <w:rFonts w:ascii="Times New Roman" w:cs="Times New Roman" w:eastAsia="Times New Roman" w:hAnsi="Times New Roman"/>
            <w:sz w:val="17"/>
            <w:szCs w:val="17"/>
            <w:u w:val="single" w:color="auto"/>
            <w:color w:val="0000FF"/>
          </w:rPr>
          <w:t>on Form 10-K for the fiscal year ended December 31,</w:t>
        </w:r>
      </w:hyperlink>
      <w:r>
        <w:rPr>
          <w:rFonts w:ascii="Times New Roman" w:cs="Times New Roman" w:eastAsia="Times New Roman" w:hAnsi="Times New Roman"/>
          <w:sz w:val="17"/>
          <w:szCs w:val="17"/>
          <w:u w:val="single" w:color="auto"/>
          <w:color w:val="0000FF"/>
        </w:rPr>
        <w:t xml:space="preserve"> </w:t>
      </w:r>
      <w:hyperlink r:id="rId249">
        <w:r>
          <w:rPr>
            <w:rFonts w:ascii="Times New Roman" w:cs="Times New Roman" w:eastAsia="Times New Roman" w:hAnsi="Times New Roman"/>
            <w:sz w:val="17"/>
            <w:szCs w:val="17"/>
            <w:u w:val="single" w:color="auto"/>
            <w:color w:val="0000FF"/>
          </w:rPr>
          <w:t>2024 (File No. 001-10362) filed with the Securities and</w:t>
        </w:r>
      </w:hyperlink>
    </w:p>
    <w:p>
      <w:pPr>
        <w:spacing w:after="0"/>
        <w:rPr>
          <w:rFonts w:ascii="Times New Roman" w:cs="Times New Roman" w:eastAsia="Times New Roman" w:hAnsi="Times New Roman"/>
          <w:sz w:val="18"/>
          <w:szCs w:val="18"/>
          <w:u w:val="single" w:color="auto"/>
          <w:color w:val="0000FF"/>
        </w:rPr>
      </w:pPr>
      <w:hyperlink r:id="rId249">
        <w:r>
          <w:rPr>
            <w:rFonts w:ascii="Times New Roman" w:cs="Times New Roman" w:eastAsia="Times New Roman" w:hAnsi="Times New Roman"/>
            <w:sz w:val="18"/>
            <w:szCs w:val="18"/>
            <w:u w:val="single" w:color="auto"/>
            <w:color w:val="0000FF"/>
          </w:rPr>
          <w:t>Exchange Commission on February 18, 2025.</w:t>
        </w:r>
      </w:hyperlink>
    </w:p>
    <w:p>
      <w:pPr>
        <w:spacing w:after="0" w:line="2770" w:lineRule="exact"/>
        <w:rPr>
          <w:rFonts w:ascii="Times New Roman" w:cs="Times New Roman" w:eastAsia="Times New Roman" w:hAnsi="Times New Roman"/>
          <w:sz w:val="17"/>
          <w:szCs w:val="17"/>
          <w:u w:val="single" w:color="auto"/>
          <w:color w:val="0000FF"/>
        </w:rPr>
      </w:pPr>
    </w:p>
    <w:p>
      <w:pPr>
        <w:sectPr>
          <w:pgSz w:w="11900" w:h="16838" w:orient="portrait"/>
          <w:cols w:equalWidth="0" w:num="2">
            <w:col w:w="6960" w:space="160"/>
            <w:col w:w="4000"/>
          </w:cols>
          <w:pgMar w:left="320" w:top="918" w:right="45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w:t>
      </w:r>
    </w:p>
    <w:p>
      <w:pPr>
        <w:spacing w:after="0" w:line="117" w:lineRule="exact"/>
        <w:rPr>
          <w:rFonts w:ascii="Times New Roman" w:cs="Times New Roman" w:eastAsia="Times New Roman" w:hAnsi="Times New Roman"/>
          <w:sz w:val="17"/>
          <w:szCs w:val="17"/>
          <w:u w:val="single" w:color="auto"/>
          <w:color w:val="0000FF"/>
        </w:rPr>
      </w:pPr>
    </w:p>
    <w:p>
      <w:pPr>
        <w:ind w:left="660" w:right="500" w:hanging="652"/>
        <w:spacing w:after="0" w:line="282" w:lineRule="auto"/>
        <w:tabs>
          <w:tab w:leader="none" w:pos="65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Annexes, schedules and/or exhibits have been omitted pursuant to Item 601(b)(2) of Regulation S-K. The Registrant agrees to furnish on a supplemental basis a copy of any omitted attachment to the SEC on a confidential basis upon request.</w:t>
      </w:r>
    </w:p>
    <w:p>
      <w:pPr>
        <w:spacing w:after="0" w:line="53"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management contracts and management and director compensatory plans.</w:t>
      </w:r>
    </w:p>
    <w:p>
      <w:pPr>
        <w:spacing w:after="0" w:line="117"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117"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confidential information has been omitted from this exhibit pursuant to applicable SEC rules.</w:t>
      </w:r>
    </w:p>
    <w:p>
      <w:pPr>
        <w:spacing w:after="0" w:line="117"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271" w:lineRule="exact"/>
        <w:rPr>
          <w:rFonts w:ascii="Times New Roman" w:cs="Times New Roman" w:eastAsia="Times New Roman" w:hAnsi="Times New Roman"/>
          <w:sz w:val="17"/>
          <w:szCs w:val="17"/>
          <w:u w:val="single" w:color="auto"/>
          <w:color w:val="0000FF"/>
        </w:rPr>
      </w:pPr>
    </w:p>
    <w:p>
      <w:pPr>
        <w:jc w:val="center"/>
        <w:ind w:right="-119"/>
        <w:spacing w:after="0"/>
        <w:rPr>
          <w:sz w:val="20"/>
          <w:szCs w:val="20"/>
          <w:color w:val="auto"/>
        </w:rPr>
      </w:pPr>
      <w:r>
        <w:rPr>
          <w:rFonts w:ascii="Times New Roman" w:cs="Times New Roman" w:eastAsia="Times New Roman" w:hAnsi="Times New Roman"/>
          <w:sz w:val="18"/>
          <w:szCs w:val="18"/>
          <w:color w:val="auto"/>
        </w:rPr>
        <w:t>166</w:t>
      </w:r>
    </w:p>
    <w:p>
      <w:pPr>
        <w:spacing w:after="0" w:line="20" w:lineRule="exact"/>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918" w:right="459" w:bottom="1440" w:gutter="0" w:footer="0" w:header="0"/>
          <w:type w:val="continuous"/>
        </w:sectPr>
      </w:pPr>
    </w:p>
    <w:bookmarkStart w:id="168" w:name="page169"/>
    <w:bookmarkEnd w:id="168"/>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95" w:right="1440" w:bottom="1440" w:gutter="0" w:footer="0" w:header="0"/>
        </w:sectPr>
      </w:pPr>
    </w:p>
    <w:bookmarkStart w:id="169" w:name="page170"/>
    <w:bookmarkEnd w:id="169"/>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20"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28, 2025</w:t>
            </w:r>
          </w:p>
        </w:tc>
        <w:tc>
          <w:tcPr>
            <w:tcW w:w="3060" w:type="dxa"/>
            <w:vAlign w:val="bottom"/>
          </w:tcPr>
          <w:p>
            <w:pPr>
              <w:ind w:left="1980"/>
              <w:spacing w:after="0"/>
              <w:rPr>
                <w:sz w:val="20"/>
                <w:szCs w:val="20"/>
                <w:color w:val="auto"/>
              </w:rPr>
            </w:pPr>
            <w:r>
              <w:rPr>
                <w:rFonts w:ascii="Times New Roman" w:cs="Times New Roman" w:eastAsia="Times New Roman" w:hAnsi="Times New Roman"/>
                <w:sz w:val="18"/>
                <w:szCs w:val="18"/>
                <w:b w:val="1"/>
                <w:bCs w:val="1"/>
                <w:color w:val="auto"/>
              </w:rPr>
              <w:t>IAC INC.</w:t>
            </w:r>
          </w:p>
        </w:tc>
        <w:tc>
          <w:tcPr>
            <w:tcW w:w="4860" w:type="dxa"/>
            <w:vAlign w:val="bottom"/>
          </w:tcPr>
          <w:p>
            <w:pPr>
              <w:spacing w:after="0"/>
              <w:rPr>
                <w:sz w:val="20"/>
                <w:szCs w:val="20"/>
                <w:color w:val="auto"/>
              </w:rPr>
            </w:pPr>
          </w:p>
        </w:tc>
      </w:tr>
      <w:tr>
        <w:trPr>
          <w:trHeight w:val="234"/>
        </w:trPr>
        <w:tc>
          <w:tcPr>
            <w:tcW w:w="3320" w:type="dxa"/>
            <w:vAlign w:val="bottom"/>
          </w:tcPr>
          <w:p>
            <w:pPr>
              <w:spacing w:after="0"/>
              <w:rPr>
                <w:sz w:val="20"/>
                <w:szCs w:val="20"/>
                <w:color w:val="auto"/>
              </w:rPr>
            </w:pPr>
          </w:p>
        </w:tc>
        <w:tc>
          <w:tcPr>
            <w:tcW w:w="306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CHRISTOPHER HALPIN</w:t>
            </w:r>
          </w:p>
        </w:tc>
      </w:tr>
      <w:tr>
        <w:trPr>
          <w:trHeight w:val="216"/>
        </w:trPr>
        <w:tc>
          <w:tcPr>
            <w:tcW w:w="33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Christopher Halpin</w:t>
            </w:r>
          </w:p>
        </w:tc>
      </w:tr>
      <w:tr>
        <w:trPr>
          <w:trHeight w:val="182"/>
        </w:trPr>
        <w:tc>
          <w:tcPr>
            <w:tcW w:w="332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486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i w:val="1"/>
                <w:iCs w:val="1"/>
                <w:color w:val="auto"/>
                <w:w w:val="99"/>
              </w:rPr>
              <w:t>Executive Vice President, Chief Financial Officer and Chief</w:t>
            </w:r>
          </w:p>
        </w:tc>
      </w:tr>
      <w:tr>
        <w:trPr>
          <w:trHeight w:val="236"/>
        </w:trPr>
        <w:tc>
          <w:tcPr>
            <w:tcW w:w="33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Operating Officer</w:t>
            </w:r>
          </w:p>
        </w:tc>
      </w:tr>
      <w:tr>
        <w:trPr>
          <w:trHeight w:val="257"/>
        </w:trPr>
        <w:tc>
          <w:tcPr>
            <w:tcW w:w="3320" w:type="dxa"/>
            <w:vAlign w:val="bottom"/>
            <w:tcBorders>
              <w:bottom w:val="single" w:sz="8" w:color="auto"/>
            </w:tcBorders>
          </w:tcPr>
          <w:p>
            <w:pPr>
              <w:spacing w:after="0"/>
              <w:rPr>
                <w:sz w:val="22"/>
                <w:szCs w:val="22"/>
                <w:color w:val="auto"/>
              </w:rPr>
            </w:pPr>
          </w:p>
        </w:tc>
        <w:tc>
          <w:tcPr>
            <w:tcW w:w="3060" w:type="dxa"/>
            <w:vAlign w:val="bottom"/>
            <w:tcBorders>
              <w:bottom w:val="single" w:sz="8" w:color="auto"/>
            </w:tcBorders>
          </w:tcPr>
          <w:p>
            <w:pPr>
              <w:spacing w:after="0"/>
              <w:rPr>
                <w:sz w:val="22"/>
                <w:szCs w:val="22"/>
                <w:color w:val="auto"/>
              </w:rPr>
            </w:pPr>
          </w:p>
        </w:tc>
        <w:tc>
          <w:tcPr>
            <w:tcW w:w="4860" w:type="dxa"/>
            <w:vAlign w:val="bottom"/>
            <w:tcBorders>
              <w:bottom w:val="single" w:sz="8" w:color="auto"/>
            </w:tcBorders>
          </w:tcPr>
          <w:p>
            <w:pPr>
              <w:spacing w:after="0"/>
              <w:rPr>
                <w:sz w:val="22"/>
                <w:szCs w:val="22"/>
                <w:color w:val="auto"/>
              </w:rPr>
            </w:pPr>
          </w:p>
        </w:tc>
      </w:tr>
    </w:tbl>
    <w:p>
      <w:pPr>
        <w:spacing w:after="0" w:line="3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Registrant and in the capacities indicated on February 28, 2025:</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26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3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1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BARRY DILLER</w:t>
            </w:r>
          </w:p>
        </w:tc>
        <w:tc>
          <w:tcPr>
            <w:tcW w:w="612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Chairman of the Board, Senior Executive and Director</w:t>
            </w:r>
          </w:p>
        </w:tc>
        <w:tc>
          <w:tcPr>
            <w:tcW w:w="0" w:type="dxa"/>
            <w:vAlign w:val="bottom"/>
          </w:tcPr>
          <w:p>
            <w:pPr>
              <w:spacing w:after="0"/>
              <w:rPr>
                <w:sz w:val="1"/>
                <w:szCs w:val="1"/>
                <w:color w:val="auto"/>
              </w:rPr>
            </w:pPr>
          </w:p>
        </w:tc>
      </w:tr>
      <w:tr>
        <w:trPr>
          <w:trHeight w:val="228"/>
        </w:trPr>
        <w:tc>
          <w:tcPr>
            <w:tcW w:w="51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Barry Diller</w:t>
            </w:r>
          </w:p>
        </w:tc>
        <w:tc>
          <w:tcPr>
            <w:tcW w:w="2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51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JOSEPH LEVIN</w:t>
            </w:r>
          </w:p>
        </w:tc>
        <w:tc>
          <w:tcPr>
            <w:tcW w:w="612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0" w:type="dxa"/>
            <w:vAlign w:val="bottom"/>
          </w:tcPr>
          <w:p>
            <w:pPr>
              <w:spacing w:after="0"/>
              <w:rPr>
                <w:sz w:val="1"/>
                <w:szCs w:val="1"/>
                <w:color w:val="auto"/>
              </w:rPr>
            </w:pPr>
          </w:p>
        </w:tc>
      </w:tr>
      <w:tr>
        <w:trPr>
          <w:trHeight w:val="228"/>
        </w:trPr>
        <w:tc>
          <w:tcPr>
            <w:tcW w:w="51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Joseph Levin</w:t>
            </w:r>
          </w:p>
        </w:tc>
        <w:tc>
          <w:tcPr>
            <w:tcW w:w="2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51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VICTOR A. KAUFMAN</w:t>
            </w:r>
          </w:p>
        </w:tc>
        <w:tc>
          <w:tcPr>
            <w:tcW w:w="612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Vice Chairman and Director</w:t>
            </w:r>
          </w:p>
        </w:tc>
        <w:tc>
          <w:tcPr>
            <w:tcW w:w="0" w:type="dxa"/>
            <w:vAlign w:val="bottom"/>
          </w:tcPr>
          <w:p>
            <w:pPr>
              <w:spacing w:after="0"/>
              <w:rPr>
                <w:sz w:val="1"/>
                <w:szCs w:val="1"/>
                <w:color w:val="auto"/>
              </w:rPr>
            </w:pPr>
          </w:p>
        </w:tc>
      </w:tr>
      <w:tr>
        <w:trPr>
          <w:trHeight w:val="228"/>
        </w:trPr>
        <w:tc>
          <w:tcPr>
            <w:tcW w:w="51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Victor A. Kaufman</w:t>
            </w:r>
          </w:p>
        </w:tc>
        <w:tc>
          <w:tcPr>
            <w:tcW w:w="6120" w:type="dxa"/>
            <w:vAlign w:val="bottom"/>
            <w:gridSpan w:val="3"/>
            <w:vMerge w:val="restart"/>
          </w:tcPr>
          <w:p>
            <w:pPr>
              <w:ind w:left="460"/>
              <w:spacing w:after="0"/>
              <w:rPr>
                <w:sz w:val="20"/>
                <w:szCs w:val="20"/>
                <w:color w:val="auto"/>
              </w:rPr>
            </w:pPr>
            <w:r>
              <w:rPr>
                <w:rFonts w:ascii="Times New Roman" w:cs="Times New Roman" w:eastAsia="Times New Roman" w:hAnsi="Times New Roman"/>
                <w:sz w:val="18"/>
                <w:szCs w:val="18"/>
                <w:color w:val="auto"/>
              </w:rPr>
              <w:t>Executive Vice President, Chief Financial Officer and Chief Operating</w:t>
            </w:r>
          </w:p>
        </w:tc>
        <w:tc>
          <w:tcPr>
            <w:tcW w:w="0" w:type="dxa"/>
            <w:vAlign w:val="bottom"/>
          </w:tcPr>
          <w:p>
            <w:pPr>
              <w:spacing w:after="0"/>
              <w:rPr>
                <w:sz w:val="1"/>
                <w:szCs w:val="1"/>
                <w:color w:val="auto"/>
              </w:rPr>
            </w:pPr>
          </w:p>
        </w:tc>
      </w:tr>
      <w:tr>
        <w:trPr>
          <w:trHeight w:val="171"/>
        </w:trPr>
        <w:tc>
          <w:tcPr>
            <w:tcW w:w="2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6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1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/s/ CHRISTOPHER HALPIN</w:t>
            </w:r>
          </w:p>
        </w:tc>
        <w:tc>
          <w:tcPr>
            <w:tcW w:w="612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Officer</w:t>
            </w:r>
          </w:p>
        </w:tc>
        <w:tc>
          <w:tcPr>
            <w:tcW w:w="0" w:type="dxa"/>
            <w:vAlign w:val="bottom"/>
          </w:tcPr>
          <w:p>
            <w:pPr>
              <w:spacing w:after="0"/>
              <w:rPr>
                <w:sz w:val="1"/>
                <w:szCs w:val="1"/>
                <w:color w:val="auto"/>
              </w:rPr>
            </w:pPr>
          </w:p>
        </w:tc>
      </w:tr>
      <w:tr>
        <w:trPr>
          <w:trHeight w:val="228"/>
        </w:trPr>
        <w:tc>
          <w:tcPr>
            <w:tcW w:w="51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Christopher Halpin</w:t>
            </w:r>
          </w:p>
        </w:tc>
        <w:tc>
          <w:tcPr>
            <w:tcW w:w="2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51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/s/ MICHAEL H. SCHWERDTMAN</w:t>
            </w:r>
          </w:p>
        </w:tc>
        <w:tc>
          <w:tcPr>
            <w:tcW w:w="612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Senior Vice President and Controller (Chief Accounting Officer)</w:t>
            </w:r>
          </w:p>
        </w:tc>
        <w:tc>
          <w:tcPr>
            <w:tcW w:w="0" w:type="dxa"/>
            <w:vAlign w:val="bottom"/>
          </w:tcPr>
          <w:p>
            <w:pPr>
              <w:spacing w:after="0"/>
              <w:rPr>
                <w:sz w:val="1"/>
                <w:szCs w:val="1"/>
                <w:color w:val="auto"/>
              </w:rPr>
            </w:pPr>
          </w:p>
        </w:tc>
      </w:tr>
      <w:tr>
        <w:trPr>
          <w:trHeight w:val="228"/>
        </w:trPr>
        <w:tc>
          <w:tcPr>
            <w:tcW w:w="51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Michael H. Schwerdtman</w:t>
            </w:r>
          </w:p>
        </w:tc>
        <w:tc>
          <w:tcPr>
            <w:tcW w:w="2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51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CHELSEA CLINTON</w:t>
            </w:r>
          </w:p>
        </w:tc>
        <w:tc>
          <w:tcPr>
            <w:tcW w:w="612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28"/>
        </w:trPr>
        <w:tc>
          <w:tcPr>
            <w:tcW w:w="51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Chelsea Clinton</w:t>
            </w:r>
          </w:p>
        </w:tc>
        <w:tc>
          <w:tcPr>
            <w:tcW w:w="2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51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MICHAEL D. EISNER</w:t>
            </w:r>
          </w:p>
        </w:tc>
        <w:tc>
          <w:tcPr>
            <w:tcW w:w="612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28"/>
        </w:trPr>
        <w:tc>
          <w:tcPr>
            <w:tcW w:w="51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Michael D. Eisner</w:t>
            </w:r>
          </w:p>
        </w:tc>
        <w:tc>
          <w:tcPr>
            <w:tcW w:w="2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512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/s/ BONNIE S. HAMMER</w:t>
            </w:r>
          </w:p>
        </w:tc>
        <w:tc>
          <w:tcPr>
            <w:tcW w:w="612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28"/>
        </w:trPr>
        <w:tc>
          <w:tcPr>
            <w:tcW w:w="51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Bonnie S. Hammer</w:t>
            </w:r>
          </w:p>
        </w:tc>
        <w:tc>
          <w:tcPr>
            <w:tcW w:w="2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51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/s/ BRYAN LOURD</w:t>
            </w:r>
          </w:p>
        </w:tc>
        <w:tc>
          <w:tcPr>
            <w:tcW w:w="612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28"/>
        </w:trPr>
        <w:tc>
          <w:tcPr>
            <w:tcW w:w="51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Bryan Lourd</w:t>
            </w:r>
          </w:p>
        </w:tc>
        <w:tc>
          <w:tcPr>
            <w:tcW w:w="2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51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DAVID S. ROSENBLATT</w:t>
            </w:r>
          </w:p>
        </w:tc>
        <w:tc>
          <w:tcPr>
            <w:tcW w:w="612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28"/>
        </w:trPr>
        <w:tc>
          <w:tcPr>
            <w:tcW w:w="51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David S. Rosenblatt</w:t>
            </w:r>
          </w:p>
        </w:tc>
        <w:tc>
          <w:tcPr>
            <w:tcW w:w="2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51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MARIA SEFERIAN</w:t>
            </w:r>
          </w:p>
        </w:tc>
        <w:tc>
          <w:tcPr>
            <w:tcW w:w="612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28"/>
        </w:trPr>
        <w:tc>
          <w:tcPr>
            <w:tcW w:w="51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Maria Seferian</w:t>
            </w:r>
          </w:p>
        </w:tc>
        <w:tc>
          <w:tcPr>
            <w:tcW w:w="2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51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ALAN G. SPOON</w:t>
            </w:r>
          </w:p>
        </w:tc>
        <w:tc>
          <w:tcPr>
            <w:tcW w:w="612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28"/>
        </w:trPr>
        <w:tc>
          <w:tcPr>
            <w:tcW w:w="51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Alan G. Spoon</w:t>
            </w:r>
          </w:p>
        </w:tc>
        <w:tc>
          <w:tcPr>
            <w:tcW w:w="2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51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/s/ ALEXANDER VON FURSTENBERG</w:t>
            </w:r>
          </w:p>
        </w:tc>
        <w:tc>
          <w:tcPr>
            <w:tcW w:w="612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28"/>
        </w:trPr>
        <w:tc>
          <w:tcPr>
            <w:tcW w:w="51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Alexander von Furstenberg</w:t>
            </w:r>
          </w:p>
        </w:tc>
        <w:tc>
          <w:tcPr>
            <w:tcW w:w="2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51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RICHARD F. ZANNINO</w:t>
            </w:r>
          </w:p>
        </w:tc>
        <w:tc>
          <w:tcPr>
            <w:tcW w:w="612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28"/>
        </w:trPr>
        <w:tc>
          <w:tcPr>
            <w:tcW w:w="51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Richard F. Zannino</w:t>
            </w:r>
          </w:p>
        </w:tc>
        <w:tc>
          <w:tcPr>
            <w:tcW w:w="2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7"/>
        </w:trPr>
        <w:tc>
          <w:tcPr>
            <w:tcW w:w="2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168</w:t>
            </w:r>
          </w:p>
        </w:tc>
        <w:tc>
          <w:tcPr>
            <w:tcW w:w="2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2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c>
          <w:tcPr>
            <w:tcW w:w="28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9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70" w:name="page171"/>
    <w:bookmarkEnd w:id="170"/>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w w:val="98"/>
              </w:rPr>
              <w:t>Schedule II</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IAC INC. AND SUBSIDIARIES</w:t>
            </w: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560" w:type="dxa"/>
            <w:vAlign w:val="bottom"/>
            <w:gridSpan w:val="7"/>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VALUATION AND QUALIFYING ACCOUNTS</w:t>
            </w: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center"/>
              <w:ind w:right="255"/>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360" w:type="dxa"/>
            <w:vAlign w:val="bottom"/>
          </w:tcPr>
          <w:p>
            <w:pPr>
              <w:spacing w:after="0"/>
              <w:rPr>
                <w:sz w:val="24"/>
                <w:szCs w:val="24"/>
                <w:color w:val="auto"/>
              </w:rPr>
            </w:pPr>
          </w:p>
        </w:tc>
        <w:tc>
          <w:tcPr>
            <w:tcW w:w="1000" w:type="dxa"/>
            <w:vAlign w:val="bottom"/>
            <w:vMerge w:val="restart"/>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Charges to</w:t>
            </w:r>
          </w:p>
        </w:tc>
        <w:tc>
          <w:tcPr>
            <w:tcW w:w="240" w:type="dxa"/>
            <w:vAlign w:val="bottom"/>
          </w:tcPr>
          <w:p>
            <w:pPr>
              <w:spacing w:after="0"/>
              <w:rPr>
                <w:sz w:val="24"/>
                <w:szCs w:val="24"/>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Charges to</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ind w:right="235"/>
              <w:spacing w:after="0" w:line="149"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3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vMerge w:val="restart"/>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60" w:type="dxa"/>
            <w:vAlign w:val="bottom"/>
            <w:gridSpan w:val="2"/>
            <w:vMerge w:val="continue"/>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ind w:right="255"/>
              <w:spacing w:after="0" w:line="149" w:lineRule="exact"/>
              <w:rPr>
                <w:sz w:val="20"/>
                <w:szCs w:val="20"/>
                <w:color w:val="auto"/>
              </w:rPr>
            </w:pPr>
            <w:r>
              <w:rPr>
                <w:rFonts w:ascii="Times New Roman" w:cs="Times New Roman" w:eastAsia="Times New Roman" w:hAnsi="Times New Roman"/>
                <w:sz w:val="14"/>
                <w:szCs w:val="14"/>
                <w:b w:val="1"/>
                <w:bCs w:val="1"/>
                <w:color w:val="auto"/>
              </w:rPr>
              <w:t>of Period</w:t>
            </w:r>
          </w:p>
        </w:tc>
        <w:tc>
          <w:tcPr>
            <w:tcW w:w="360" w:type="dxa"/>
            <w:vAlign w:val="bottom"/>
          </w:tcPr>
          <w:p>
            <w:pPr>
              <w:spacing w:after="0"/>
              <w:rPr>
                <w:sz w:val="12"/>
                <w:szCs w:val="12"/>
                <w:color w:val="auto"/>
              </w:rPr>
            </w:pPr>
          </w:p>
        </w:tc>
        <w:tc>
          <w:tcPr>
            <w:tcW w:w="1000" w:type="dxa"/>
            <w:vAlign w:val="bottom"/>
          </w:tcPr>
          <w:p>
            <w:pPr>
              <w:jc w:val="right"/>
              <w:ind w:right="255"/>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240" w:type="dxa"/>
            <w:vAlign w:val="bottom"/>
          </w:tcPr>
          <w:p>
            <w:pPr>
              <w:spacing w:after="0"/>
              <w:rPr>
                <w:sz w:val="12"/>
                <w:szCs w:val="12"/>
                <w:color w:val="auto"/>
              </w:rPr>
            </w:pPr>
          </w:p>
        </w:tc>
        <w:tc>
          <w:tcPr>
            <w:tcW w:w="12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 Accounts</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ind w:right="33"/>
              <w:spacing w:after="0" w:line="149" w:lineRule="exact"/>
              <w:rPr>
                <w:sz w:val="20"/>
                <w:szCs w:val="20"/>
                <w:color w:val="auto"/>
              </w:rPr>
            </w:pPr>
            <w:r>
              <w:rPr>
                <w:rFonts w:ascii="Times New Roman" w:cs="Times New Roman" w:eastAsia="Times New Roman" w:hAnsi="Times New Roman"/>
                <w:sz w:val="14"/>
                <w:szCs w:val="14"/>
                <w:b w:val="1"/>
                <w:bCs w:val="1"/>
                <w:color w:val="auto"/>
              </w:rPr>
              <w:t>End of Period</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2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3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32,379</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61,949</w:t>
            </w:r>
          </w:p>
        </w:tc>
        <w:tc>
          <w:tcPr>
            <w:tcW w:w="2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(a)</w:t>
            </w:r>
          </w:p>
        </w:tc>
        <w:tc>
          <w:tcPr>
            <w:tcW w:w="460" w:type="dxa"/>
            <w:vAlign w:val="bottom"/>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(68,441)</w:t>
            </w:r>
          </w:p>
        </w:tc>
        <w:tc>
          <w:tcPr>
            <w:tcW w:w="2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(b)</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27,913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valuation allowance</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132,058</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(36,199)</w:t>
            </w: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(c)</w:t>
            </w:r>
          </w:p>
        </w:tc>
        <w:tc>
          <w:tcPr>
            <w:tcW w:w="4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(d)</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94,429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reserves</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1,391</w:t>
            </w: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0" w:type="dxa"/>
            <w:vAlign w:val="bottom"/>
          </w:tcPr>
          <w:p>
            <w:pPr>
              <w:spacing w:after="0"/>
              <w:rPr>
                <w:sz w:val="1"/>
                <w:szCs w:val="1"/>
                <w:color w:val="auto"/>
              </w:rPr>
            </w:pPr>
          </w:p>
        </w:tc>
      </w:tr>
      <w:tr>
        <w:trPr>
          <w:trHeight w:val="230"/>
        </w:trPr>
        <w:tc>
          <w:tcPr>
            <w:tcW w:w="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50,971</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87,729</w:t>
            </w:r>
          </w:p>
        </w:tc>
        <w:tc>
          <w:tcPr>
            <w:tcW w:w="2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(a)</w:t>
            </w:r>
          </w:p>
        </w:tc>
        <w:tc>
          <w:tcPr>
            <w:tcW w:w="460" w:type="dxa"/>
            <w:vAlign w:val="bottom"/>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174</w:t>
            </w:r>
          </w:p>
        </w:tc>
        <w:tc>
          <w:tcPr>
            <w:tcW w:w="2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(106,495)</w:t>
            </w:r>
          </w:p>
        </w:tc>
        <w:tc>
          <w:tcPr>
            <w:tcW w:w="2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(b)</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32,379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valuation allowance</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124,012</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4,373</w:t>
            </w: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(e)</w:t>
            </w:r>
          </w:p>
        </w:tc>
        <w:tc>
          <w:tcPr>
            <w:tcW w:w="4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3,673</w:t>
            </w:r>
          </w:p>
        </w:tc>
        <w:tc>
          <w:tcPr>
            <w:tcW w:w="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(d)</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132,058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reserves</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1,880</w:t>
            </w: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0" w:type="dxa"/>
            <w:vAlign w:val="bottom"/>
          </w:tcPr>
          <w:p>
            <w:pPr>
              <w:spacing w:after="0"/>
              <w:rPr>
                <w:sz w:val="1"/>
                <w:szCs w:val="1"/>
                <w:color w:val="auto"/>
              </w:rPr>
            </w:pPr>
          </w:p>
        </w:tc>
      </w:tr>
      <w:tr>
        <w:trPr>
          <w:trHeight w:val="229"/>
        </w:trPr>
        <w:tc>
          <w:tcPr>
            <w:tcW w:w="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36,637</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116,553</w:t>
            </w:r>
          </w:p>
        </w:tc>
        <w:tc>
          <w:tcPr>
            <w:tcW w:w="2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(a)</w:t>
            </w:r>
          </w:p>
        </w:tc>
        <w:tc>
          <w:tcPr>
            <w:tcW w:w="460" w:type="dxa"/>
            <w:vAlign w:val="bottom"/>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109</w:t>
            </w:r>
          </w:p>
        </w:tc>
        <w:tc>
          <w:tcPr>
            <w:tcW w:w="2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(102,328)</w:t>
            </w:r>
          </w:p>
        </w:tc>
        <w:tc>
          <w:tcPr>
            <w:tcW w:w="2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(b)</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50,971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valuation allowance</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112,640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(4,497)</w:t>
            </w: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(f)</w:t>
            </w:r>
          </w:p>
        </w:tc>
        <w:tc>
          <w:tcPr>
            <w:tcW w:w="4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15,869</w:t>
            </w:r>
          </w:p>
        </w:tc>
        <w:tc>
          <w:tcPr>
            <w:tcW w:w="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(g)</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124,012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reserves</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2,530</w:t>
            </w: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w:t>
            </w: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w:t>
      </w:r>
    </w:p>
    <w:p>
      <w:pPr>
        <w:spacing w:after="0" w:line="123" w:lineRule="exact"/>
        <w:rPr>
          <w:sz w:val="20"/>
          <w:szCs w:val="20"/>
          <w:color w:val="auto"/>
        </w:rPr>
      </w:pPr>
    </w:p>
    <w:p>
      <w:pPr>
        <w:ind w:left="660" w:hanging="328"/>
        <w:spacing w:after="0"/>
        <w:tabs>
          <w:tab w:leader="none" w:pos="66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Additions to the allowance for credit losses are charged to expense.</w:t>
      </w:r>
    </w:p>
    <w:p>
      <w:pPr>
        <w:spacing w:after="0" w:line="122"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is primarily write-offs of fully reserved accounts receivable, net of recoveries.</w:t>
      </w:r>
    </w:p>
    <w:p>
      <w:pPr>
        <w:spacing w:after="0" w:line="122" w:lineRule="exact"/>
        <w:rPr>
          <w:rFonts w:ascii="Times New Roman" w:cs="Times New Roman" w:eastAsia="Times New Roman" w:hAnsi="Times New Roman"/>
          <w:sz w:val="14"/>
          <w:szCs w:val="14"/>
          <w:color w:val="auto"/>
        </w:rPr>
      </w:pPr>
    </w:p>
    <w:p>
      <w:pPr>
        <w:ind w:left="660" w:right="280" w:hanging="328"/>
        <w:spacing w:after="0" w:line="302" w:lineRule="auto"/>
        <w:tabs>
          <w:tab w:leader="none" w:pos="632"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is primarily due to a change in judgement on the realizability of foreign net operating losses ("NOLs") following the purchase of the remaining noncontrolling interest of a foreign subsidiary and the realization of previously unbenefited capital losses, partially offset by state NOLs.</w:t>
      </w:r>
    </w:p>
    <w:p>
      <w:pPr>
        <w:spacing w:after="0" w:line="40"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primarily relates to currency translation adjustments on foreign NOLs.</w:t>
      </w:r>
    </w:p>
    <w:p>
      <w:pPr>
        <w:spacing w:after="0" w:line="122" w:lineRule="exact"/>
        <w:rPr>
          <w:rFonts w:ascii="Times New Roman" w:cs="Times New Roman" w:eastAsia="Times New Roman" w:hAnsi="Times New Roman"/>
          <w:sz w:val="14"/>
          <w:szCs w:val="14"/>
          <w:color w:val="auto"/>
        </w:rPr>
      </w:pPr>
    </w:p>
    <w:p>
      <w:pPr>
        <w:ind w:left="620" w:hanging="288"/>
        <w:spacing w:after="0"/>
        <w:tabs>
          <w:tab w:leader="none" w:pos="62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primarily relates to a net increase in unbenefited capital losses and foreign NOLs, partially offset by expiring foreign tax credits.</w:t>
      </w:r>
    </w:p>
    <w:p>
      <w:pPr>
        <w:spacing w:after="0" w:line="122" w:lineRule="exact"/>
        <w:rPr>
          <w:rFonts w:ascii="Times New Roman" w:cs="Times New Roman" w:eastAsia="Times New Roman" w:hAnsi="Times New Roman"/>
          <w:sz w:val="14"/>
          <w:szCs w:val="14"/>
          <w:color w:val="auto"/>
        </w:rPr>
      </w:pPr>
    </w:p>
    <w:p>
      <w:pPr>
        <w:ind w:left="620" w:hanging="288"/>
        <w:spacing w:after="0"/>
        <w:tabs>
          <w:tab w:leader="none" w:pos="62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primarily relates to a decrease in federal NOLs, partially offset by a net increase in unbenefited capital losses.</w:t>
      </w:r>
    </w:p>
    <w:p>
      <w:pPr>
        <w:spacing w:after="0" w:line="122" w:lineRule="exact"/>
        <w:rPr>
          <w:rFonts w:ascii="Times New Roman" w:cs="Times New Roman" w:eastAsia="Times New Roman" w:hAnsi="Times New Roman"/>
          <w:sz w:val="14"/>
          <w:szCs w:val="14"/>
          <w:color w:val="auto"/>
        </w:rPr>
      </w:pPr>
    </w:p>
    <w:p>
      <w:pPr>
        <w:ind w:left="660" w:right="220" w:hanging="328"/>
        <w:spacing w:after="0" w:line="282" w:lineRule="auto"/>
        <w:tabs>
          <w:tab w:leader="none" w:pos="676"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primarily relates to a change in judgement on the realizability of foreign NOLs related to Meredith, acquired by Dotdash on December 1, 2021, partially offset by currency translation adjustments on foreign NOLs.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11240"/>
          </w:cols>
          <w:pgMar w:left="320" w:top="995" w:right="339" w:bottom="1440" w:gutter="0" w:footer="0" w:header="0"/>
        </w:sectPr>
      </w:pPr>
    </w:p>
    <w:bookmarkStart w:id="171" w:name="page172"/>
    <w:bookmarkEnd w:id="171"/>
    <w:p>
      <w:pPr>
        <w:ind w:left="10220"/>
        <w:spacing w:after="0"/>
        <w:rPr>
          <w:sz w:val="20"/>
          <w:szCs w:val="20"/>
          <w:color w:val="auto"/>
        </w:rPr>
      </w:pPr>
      <w:r>
        <w:rPr>
          <w:rFonts w:ascii="Times New Roman" w:cs="Times New Roman" w:eastAsia="Times New Roman" w:hAnsi="Times New Roman"/>
          <w:sz w:val="20"/>
          <w:szCs w:val="20"/>
          <w:b w:val="1"/>
          <w:bCs w:val="1"/>
          <w:color w:val="auto"/>
        </w:rPr>
        <w:t>Exhibit 10.8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2220" w:type="dxa"/>
            <w:vAlign w:val="bottom"/>
          </w:tcPr>
          <w:p>
            <w:pPr>
              <w:spacing w:after="0"/>
              <w:rPr>
                <w:sz w:val="21"/>
                <w:szCs w:val="21"/>
                <w:color w:val="auto"/>
              </w:rPr>
            </w:pPr>
          </w:p>
        </w:tc>
        <w:tc>
          <w:tcPr>
            <w:tcW w:w="9040" w:type="dxa"/>
            <w:vAlign w:val="bottom"/>
          </w:tcPr>
          <w:p>
            <w:pPr>
              <w:ind w:left="260"/>
              <w:spacing w:after="0"/>
              <w:rPr>
                <w:sz w:val="20"/>
                <w:szCs w:val="20"/>
                <w:color w:val="auto"/>
              </w:rPr>
            </w:pPr>
            <w:r>
              <w:rPr>
                <w:rFonts w:ascii="Times New Roman" w:cs="Times New Roman" w:eastAsia="Times New Roman" w:hAnsi="Times New Roman"/>
                <w:sz w:val="20"/>
                <w:szCs w:val="20"/>
                <w:b w:val="1"/>
                <w:bCs w:val="1"/>
                <w:color w:val="auto"/>
              </w:rPr>
              <w:t>Notice of 2023, 2024 and 2025 IAC Restricted Stock Unit Awards Granted</w:t>
            </w:r>
          </w:p>
        </w:tc>
      </w:tr>
      <w:tr>
        <w:trPr>
          <w:trHeight w:val="262"/>
        </w:trPr>
        <w:tc>
          <w:tcPr>
            <w:tcW w:w="2220" w:type="dxa"/>
            <w:vAlign w:val="bottom"/>
          </w:tcPr>
          <w:p>
            <w:pPr>
              <w:spacing w:after="0"/>
              <w:rPr>
                <w:sz w:val="22"/>
                <w:szCs w:val="22"/>
                <w:color w:val="auto"/>
              </w:rPr>
            </w:pPr>
          </w:p>
        </w:tc>
        <w:tc>
          <w:tcPr>
            <w:tcW w:w="9040" w:type="dxa"/>
            <w:vAlign w:val="bottom"/>
          </w:tcPr>
          <w:p>
            <w:pPr>
              <w:ind w:left="1340"/>
              <w:spacing w:after="0"/>
              <w:rPr>
                <w:sz w:val="20"/>
                <w:szCs w:val="20"/>
                <w:color w:val="auto"/>
              </w:rPr>
            </w:pPr>
            <w:r>
              <w:rPr>
                <w:rFonts w:ascii="Times New Roman" w:cs="Times New Roman" w:eastAsia="Times New Roman" w:hAnsi="Times New Roman"/>
                <w:sz w:val="20"/>
                <w:szCs w:val="20"/>
                <w:b w:val="1"/>
                <w:bCs w:val="1"/>
                <w:color w:val="auto"/>
              </w:rPr>
              <w:t>Under the 2018 Stock and Annual Incentive Plan</w:t>
            </w:r>
          </w:p>
        </w:tc>
      </w:tr>
      <w:tr>
        <w:trPr>
          <w:trHeight w:val="169"/>
        </w:trPr>
        <w:tc>
          <w:tcPr>
            <w:tcW w:w="2220" w:type="dxa"/>
            <w:vAlign w:val="bottom"/>
            <w:tcBorders>
              <w:bottom w:val="single" w:sz="8" w:color="auto"/>
            </w:tcBorders>
          </w:tcPr>
          <w:p>
            <w:pPr>
              <w:spacing w:after="0"/>
              <w:rPr>
                <w:sz w:val="14"/>
                <w:szCs w:val="14"/>
                <w:color w:val="auto"/>
              </w:rPr>
            </w:pPr>
          </w:p>
        </w:tc>
        <w:tc>
          <w:tcPr>
            <w:tcW w:w="9040" w:type="dxa"/>
            <w:vAlign w:val="bottom"/>
            <w:tcBorders>
              <w:bottom w:val="single" w:sz="8" w:color="auto"/>
            </w:tcBorders>
          </w:tcPr>
          <w:p>
            <w:pPr>
              <w:spacing w:after="0"/>
              <w:rPr>
                <w:sz w:val="14"/>
                <w:szCs w:val="14"/>
                <w:color w:val="auto"/>
              </w:rPr>
            </w:pPr>
          </w:p>
        </w:tc>
      </w:tr>
      <w:tr>
        <w:trPr>
          <w:trHeight w:val="270"/>
        </w:trPr>
        <w:tc>
          <w:tcPr>
            <w:tcW w:w="22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Award Recipient:</w:t>
            </w:r>
          </w:p>
        </w:tc>
        <w:tc>
          <w:tcPr>
            <w:tcW w:w="90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[NAME]</w:t>
            </w:r>
          </w:p>
        </w:tc>
      </w:tr>
      <w:tr>
        <w:trPr>
          <w:trHeight w:val="169"/>
        </w:trPr>
        <w:tc>
          <w:tcPr>
            <w:tcW w:w="2220" w:type="dxa"/>
            <w:vAlign w:val="bottom"/>
            <w:tcBorders>
              <w:left w:val="single" w:sz="8" w:color="auto"/>
              <w:bottom w:val="single" w:sz="8" w:color="auto"/>
              <w:right w:val="single" w:sz="8" w:color="auto"/>
            </w:tcBorders>
          </w:tcPr>
          <w:p>
            <w:pPr>
              <w:spacing w:after="0"/>
              <w:rPr>
                <w:sz w:val="14"/>
                <w:szCs w:val="14"/>
                <w:color w:val="auto"/>
              </w:rPr>
            </w:pPr>
          </w:p>
        </w:tc>
        <w:tc>
          <w:tcPr>
            <w:tcW w:w="9040" w:type="dxa"/>
            <w:vAlign w:val="bottom"/>
            <w:tcBorders>
              <w:bottom w:val="single" w:sz="8" w:color="auto"/>
              <w:right w:val="single" w:sz="8" w:color="auto"/>
            </w:tcBorders>
          </w:tcPr>
          <w:p>
            <w:pPr>
              <w:spacing w:after="0"/>
              <w:rPr>
                <w:sz w:val="14"/>
                <w:szCs w:val="14"/>
                <w:color w:val="auto"/>
              </w:rPr>
            </w:pPr>
          </w:p>
        </w:tc>
      </w:tr>
      <w:tr>
        <w:trPr>
          <w:trHeight w:val="268"/>
        </w:trPr>
        <w:tc>
          <w:tcPr>
            <w:tcW w:w="22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Award:</w:t>
            </w:r>
          </w:p>
        </w:tc>
        <w:tc>
          <w:tcPr>
            <w:tcW w:w="90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[NUMBER] IAC restricted stock units ("RSUs") under the 2018 Stock and Annual Incentive Plan (the "2018</w:t>
            </w:r>
          </w:p>
        </w:tc>
      </w:tr>
      <w:tr>
        <w:trPr>
          <w:trHeight w:val="258"/>
        </w:trPr>
        <w:tc>
          <w:tcPr>
            <w:tcW w:w="2220" w:type="dxa"/>
            <w:vAlign w:val="bottom"/>
            <w:tcBorders>
              <w:left w:val="single" w:sz="8" w:color="auto"/>
              <w:right w:val="single" w:sz="8" w:color="auto"/>
            </w:tcBorders>
          </w:tcPr>
          <w:p>
            <w:pPr>
              <w:spacing w:after="0"/>
              <w:rPr>
                <w:sz w:val="22"/>
                <w:szCs w:val="22"/>
                <w:color w:val="auto"/>
              </w:rPr>
            </w:pPr>
          </w:p>
        </w:tc>
        <w:tc>
          <w:tcPr>
            <w:tcW w:w="90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Plan").</w:t>
            </w:r>
          </w:p>
        </w:tc>
      </w:tr>
      <w:tr>
        <w:trPr>
          <w:trHeight w:val="486"/>
        </w:trPr>
        <w:tc>
          <w:tcPr>
            <w:tcW w:w="2220" w:type="dxa"/>
            <w:vAlign w:val="bottom"/>
            <w:tcBorders>
              <w:left w:val="single" w:sz="8" w:color="auto"/>
              <w:right w:val="single" w:sz="8" w:color="auto"/>
            </w:tcBorders>
          </w:tcPr>
          <w:p>
            <w:pPr>
              <w:spacing w:after="0"/>
              <w:rPr>
                <w:sz w:val="24"/>
                <w:szCs w:val="24"/>
                <w:color w:val="auto"/>
              </w:rPr>
            </w:pPr>
          </w:p>
        </w:tc>
        <w:tc>
          <w:tcPr>
            <w:tcW w:w="90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w w:val="99"/>
              </w:rPr>
              <w:t>Capitalized terms used (but not defined) in this Award Notice shall have the meanings set forth in the 2018 Plan.</w:t>
            </w:r>
          </w:p>
        </w:tc>
      </w:tr>
      <w:tr>
        <w:trPr>
          <w:trHeight w:val="170"/>
        </w:trPr>
        <w:tc>
          <w:tcPr>
            <w:tcW w:w="2220" w:type="dxa"/>
            <w:vAlign w:val="bottom"/>
            <w:tcBorders>
              <w:left w:val="single" w:sz="8" w:color="auto"/>
              <w:bottom w:val="single" w:sz="8" w:color="auto"/>
              <w:right w:val="single" w:sz="8" w:color="auto"/>
            </w:tcBorders>
          </w:tcPr>
          <w:p>
            <w:pPr>
              <w:spacing w:after="0"/>
              <w:rPr>
                <w:sz w:val="14"/>
                <w:szCs w:val="14"/>
                <w:color w:val="auto"/>
              </w:rPr>
            </w:pPr>
          </w:p>
        </w:tc>
        <w:tc>
          <w:tcPr>
            <w:tcW w:w="9040" w:type="dxa"/>
            <w:vAlign w:val="bottom"/>
            <w:tcBorders>
              <w:bottom w:val="single" w:sz="8" w:color="auto"/>
              <w:right w:val="single" w:sz="8" w:color="auto"/>
            </w:tcBorders>
          </w:tcPr>
          <w:p>
            <w:pPr>
              <w:spacing w:after="0"/>
              <w:rPr>
                <w:sz w:val="14"/>
                <w:szCs w:val="14"/>
                <w:color w:val="auto"/>
              </w:rPr>
            </w:pPr>
          </w:p>
        </w:tc>
      </w:tr>
      <w:tr>
        <w:trPr>
          <w:trHeight w:val="269"/>
        </w:trPr>
        <w:tc>
          <w:tcPr>
            <w:tcW w:w="22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Award Date:</w:t>
            </w:r>
          </w:p>
        </w:tc>
        <w:tc>
          <w:tcPr>
            <w:tcW w:w="90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[DATE]</w:t>
            </w:r>
          </w:p>
        </w:tc>
      </w:tr>
      <w:tr>
        <w:trPr>
          <w:trHeight w:val="170"/>
        </w:trPr>
        <w:tc>
          <w:tcPr>
            <w:tcW w:w="2220" w:type="dxa"/>
            <w:vAlign w:val="bottom"/>
            <w:tcBorders>
              <w:left w:val="single" w:sz="8" w:color="auto"/>
              <w:bottom w:val="single" w:sz="8" w:color="auto"/>
              <w:right w:val="single" w:sz="8" w:color="auto"/>
            </w:tcBorders>
          </w:tcPr>
          <w:p>
            <w:pPr>
              <w:spacing w:after="0"/>
              <w:rPr>
                <w:sz w:val="14"/>
                <w:szCs w:val="14"/>
                <w:color w:val="auto"/>
              </w:rPr>
            </w:pPr>
          </w:p>
        </w:tc>
        <w:tc>
          <w:tcPr>
            <w:tcW w:w="9040" w:type="dxa"/>
            <w:vAlign w:val="bottom"/>
            <w:tcBorders>
              <w:bottom w:val="single" w:sz="8" w:color="auto"/>
              <w:right w:val="single" w:sz="8" w:color="auto"/>
            </w:tcBorders>
          </w:tcPr>
          <w:p>
            <w:pPr>
              <w:spacing w:after="0"/>
              <w:rPr>
                <w:sz w:val="14"/>
                <w:szCs w:val="14"/>
                <w:color w:val="auto"/>
              </w:rPr>
            </w:pPr>
          </w:p>
        </w:tc>
      </w:tr>
      <w:tr>
        <w:trPr>
          <w:trHeight w:val="268"/>
        </w:trPr>
        <w:tc>
          <w:tcPr>
            <w:tcW w:w="22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Vesting Schedule:</w:t>
            </w:r>
          </w:p>
        </w:tc>
        <w:tc>
          <w:tcPr>
            <w:tcW w:w="90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Subject to: (i) the Terms and Conditions for your Award and the 2018 Plan and (ii) your continued employment</w:t>
            </w:r>
          </w:p>
        </w:tc>
      </w:tr>
      <w:tr>
        <w:trPr>
          <w:trHeight w:val="243"/>
        </w:trPr>
        <w:tc>
          <w:tcPr>
            <w:tcW w:w="2220" w:type="dxa"/>
            <w:vAlign w:val="bottom"/>
            <w:tcBorders>
              <w:left w:val="single" w:sz="8" w:color="auto"/>
              <w:right w:val="single" w:sz="8" w:color="auto"/>
            </w:tcBorders>
          </w:tcPr>
          <w:p>
            <w:pPr>
              <w:spacing w:after="0"/>
              <w:rPr>
                <w:sz w:val="21"/>
                <w:szCs w:val="21"/>
                <w:color w:val="auto"/>
              </w:rPr>
            </w:pPr>
          </w:p>
        </w:tc>
        <w:tc>
          <w:tcPr>
            <w:tcW w:w="90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with IAC or any of its Subsidiaries, your Award shall, subject to the provisions of the 2018 Plan, vest as</w:t>
            </w:r>
          </w:p>
        </w:tc>
      </w:tr>
      <w:tr>
        <w:trPr>
          <w:trHeight w:val="258"/>
        </w:trPr>
        <w:tc>
          <w:tcPr>
            <w:tcW w:w="2220" w:type="dxa"/>
            <w:vAlign w:val="bottom"/>
            <w:tcBorders>
              <w:left w:val="single" w:sz="8" w:color="auto"/>
              <w:right w:val="single" w:sz="8" w:color="auto"/>
            </w:tcBorders>
          </w:tcPr>
          <w:p>
            <w:pPr>
              <w:spacing w:after="0"/>
              <w:rPr>
                <w:sz w:val="22"/>
                <w:szCs w:val="22"/>
                <w:color w:val="auto"/>
              </w:rPr>
            </w:pPr>
          </w:p>
        </w:tc>
        <w:tc>
          <w:tcPr>
            <w:tcW w:w="90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determined by the Committee.(1)</w:t>
            </w:r>
          </w:p>
        </w:tc>
      </w:tr>
      <w:tr>
        <w:trPr>
          <w:trHeight w:val="170"/>
        </w:trPr>
        <w:tc>
          <w:tcPr>
            <w:tcW w:w="2220" w:type="dxa"/>
            <w:vAlign w:val="bottom"/>
            <w:tcBorders>
              <w:left w:val="single" w:sz="8" w:color="auto"/>
              <w:bottom w:val="single" w:sz="8" w:color="auto"/>
              <w:right w:val="single" w:sz="8" w:color="auto"/>
            </w:tcBorders>
          </w:tcPr>
          <w:p>
            <w:pPr>
              <w:spacing w:after="0"/>
              <w:rPr>
                <w:sz w:val="14"/>
                <w:szCs w:val="14"/>
                <w:color w:val="auto"/>
              </w:rPr>
            </w:pPr>
          </w:p>
        </w:tc>
        <w:tc>
          <w:tcPr>
            <w:tcW w:w="9040" w:type="dxa"/>
            <w:vAlign w:val="bottom"/>
            <w:tcBorders>
              <w:bottom w:val="single" w:sz="8" w:color="auto"/>
              <w:right w:val="single" w:sz="8" w:color="auto"/>
            </w:tcBorders>
          </w:tcPr>
          <w:p>
            <w:pPr>
              <w:spacing w:after="0"/>
              <w:rPr>
                <w:sz w:val="14"/>
                <w:szCs w:val="14"/>
                <w:color w:val="auto"/>
              </w:rPr>
            </w:pPr>
          </w:p>
        </w:tc>
      </w:tr>
      <w:tr>
        <w:trPr>
          <w:trHeight w:val="264"/>
        </w:trPr>
        <w:tc>
          <w:tcPr>
            <w:tcW w:w="22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w w:val="98"/>
              </w:rPr>
              <w:t>Impact of Termination of</w:t>
            </w:r>
          </w:p>
        </w:tc>
        <w:tc>
          <w:tcPr>
            <w:tcW w:w="90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w w:val="99"/>
              </w:rPr>
              <w:t>Except as set forth in the Terms and Conditions for your Award, upon any termination of your employment with</w:t>
            </w:r>
          </w:p>
        </w:tc>
      </w:tr>
      <w:tr>
        <w:trPr>
          <w:trHeight w:val="247"/>
        </w:trPr>
        <w:tc>
          <w:tcPr>
            <w:tcW w:w="22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Employment:</w:t>
            </w:r>
          </w:p>
        </w:tc>
        <w:tc>
          <w:tcPr>
            <w:tcW w:w="90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w w:val="99"/>
              </w:rPr>
              <w:t>IAC or any of its Subsidiaries for any reason, any unvested portion of your Award shall be forfeited and canceled</w:t>
            </w:r>
          </w:p>
        </w:tc>
      </w:tr>
      <w:tr>
        <w:trPr>
          <w:trHeight w:val="258"/>
        </w:trPr>
        <w:tc>
          <w:tcPr>
            <w:tcW w:w="2220" w:type="dxa"/>
            <w:vAlign w:val="bottom"/>
            <w:tcBorders>
              <w:left w:val="single" w:sz="8" w:color="auto"/>
              <w:right w:val="single" w:sz="8" w:color="auto"/>
            </w:tcBorders>
          </w:tcPr>
          <w:p>
            <w:pPr>
              <w:spacing w:after="0"/>
              <w:rPr>
                <w:sz w:val="22"/>
                <w:szCs w:val="22"/>
                <w:color w:val="auto"/>
              </w:rPr>
            </w:pPr>
          </w:p>
        </w:tc>
        <w:tc>
          <w:tcPr>
            <w:tcW w:w="90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in its entirety effective immediately upon such termination of employment.</w:t>
            </w:r>
          </w:p>
        </w:tc>
      </w:tr>
      <w:tr>
        <w:trPr>
          <w:trHeight w:val="484"/>
        </w:trPr>
        <w:tc>
          <w:tcPr>
            <w:tcW w:w="2220" w:type="dxa"/>
            <w:vAlign w:val="bottom"/>
            <w:tcBorders>
              <w:left w:val="single" w:sz="8" w:color="auto"/>
              <w:right w:val="single" w:sz="8" w:color="auto"/>
            </w:tcBorders>
          </w:tcPr>
          <w:p>
            <w:pPr>
              <w:spacing w:after="0"/>
              <w:rPr>
                <w:sz w:val="24"/>
                <w:szCs w:val="24"/>
                <w:color w:val="auto"/>
              </w:rPr>
            </w:pPr>
          </w:p>
        </w:tc>
        <w:tc>
          <w:tcPr>
            <w:tcW w:w="90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If: (i) your employment is terminated for Cause or if you resign in anticipation of being terminated for Cause or</w:t>
            </w:r>
          </w:p>
        </w:tc>
      </w:tr>
      <w:tr>
        <w:trPr>
          <w:trHeight w:val="243"/>
        </w:trPr>
        <w:tc>
          <w:tcPr>
            <w:tcW w:w="2220" w:type="dxa"/>
            <w:vAlign w:val="bottom"/>
            <w:tcBorders>
              <w:left w:val="single" w:sz="8" w:color="auto"/>
              <w:right w:val="single" w:sz="8" w:color="auto"/>
            </w:tcBorders>
          </w:tcPr>
          <w:p>
            <w:pPr>
              <w:spacing w:after="0"/>
              <w:rPr>
                <w:sz w:val="21"/>
                <w:szCs w:val="21"/>
                <w:color w:val="auto"/>
              </w:rPr>
            </w:pPr>
          </w:p>
        </w:tc>
        <w:tc>
          <w:tcPr>
            <w:tcW w:w="90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(ii) following any termination of your employment for any reason, IAC becomes aware that during the two (2)</w:t>
            </w:r>
          </w:p>
        </w:tc>
      </w:tr>
      <w:tr>
        <w:trPr>
          <w:trHeight w:val="243"/>
        </w:trPr>
        <w:tc>
          <w:tcPr>
            <w:tcW w:w="2220" w:type="dxa"/>
            <w:vAlign w:val="bottom"/>
            <w:tcBorders>
              <w:left w:val="single" w:sz="8" w:color="auto"/>
              <w:right w:val="single" w:sz="8" w:color="auto"/>
            </w:tcBorders>
          </w:tcPr>
          <w:p>
            <w:pPr>
              <w:spacing w:after="0"/>
              <w:rPr>
                <w:sz w:val="21"/>
                <w:szCs w:val="21"/>
                <w:color w:val="auto"/>
              </w:rPr>
            </w:pPr>
          </w:p>
        </w:tc>
        <w:tc>
          <w:tcPr>
            <w:tcW w:w="90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years prior to such termination of employment there was an event or circumstance that constituted fraud</w:t>
            </w:r>
          </w:p>
        </w:tc>
      </w:tr>
      <w:tr>
        <w:trPr>
          <w:trHeight w:val="257"/>
        </w:trPr>
        <w:tc>
          <w:tcPr>
            <w:tcW w:w="2220" w:type="dxa"/>
            <w:vAlign w:val="bottom"/>
            <w:tcBorders>
              <w:left w:val="single" w:sz="8" w:color="auto"/>
              <w:right w:val="single" w:sz="8" w:color="auto"/>
            </w:tcBorders>
          </w:tcPr>
          <w:p>
            <w:pPr>
              <w:spacing w:after="0"/>
              <w:rPr>
                <w:sz w:val="22"/>
                <w:szCs w:val="22"/>
                <w:color w:val="auto"/>
              </w:rPr>
            </w:pPr>
          </w:p>
        </w:tc>
        <w:tc>
          <w:tcPr>
            <w:tcW w:w="90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w w:val="99"/>
              </w:rPr>
              <w:t>(financial or otherwise) or would have been grounds for termination for Cause that caused or is reasonably likely</w:t>
            </w:r>
          </w:p>
        </w:tc>
      </w:tr>
      <w:tr>
        <w:trPr>
          <w:trHeight w:val="243"/>
        </w:trPr>
        <w:tc>
          <w:tcPr>
            <w:tcW w:w="2220" w:type="dxa"/>
            <w:vAlign w:val="bottom"/>
            <w:tcBorders>
              <w:left w:val="single" w:sz="8" w:color="auto"/>
              <w:right w:val="single" w:sz="8" w:color="auto"/>
            </w:tcBorders>
          </w:tcPr>
          <w:p>
            <w:pPr>
              <w:spacing w:after="0"/>
              <w:rPr>
                <w:sz w:val="21"/>
                <w:szCs w:val="21"/>
                <w:color w:val="auto"/>
              </w:rPr>
            </w:pPr>
          </w:p>
        </w:tc>
        <w:tc>
          <w:tcPr>
            <w:tcW w:w="90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to cause meaningful damage (economic, reputational or otherwise) to IAC and/or any of its Subsidiaries (the</w:t>
            </w:r>
          </w:p>
        </w:tc>
      </w:tr>
      <w:tr>
        <w:trPr>
          <w:trHeight w:val="243"/>
        </w:trPr>
        <w:tc>
          <w:tcPr>
            <w:tcW w:w="2220" w:type="dxa"/>
            <w:vAlign w:val="bottom"/>
            <w:tcBorders>
              <w:left w:val="single" w:sz="8" w:color="auto"/>
              <w:right w:val="single" w:sz="8" w:color="auto"/>
            </w:tcBorders>
          </w:tcPr>
          <w:p>
            <w:pPr>
              <w:spacing w:after="0"/>
              <w:rPr>
                <w:sz w:val="21"/>
                <w:szCs w:val="21"/>
                <w:color w:val="auto"/>
              </w:rPr>
            </w:pPr>
          </w:p>
        </w:tc>
        <w:tc>
          <w:tcPr>
            <w:tcW w:w="90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“Underlying Event”) (and which would not have been curable upon notice), then: (i) your Award, if then</w:t>
            </w:r>
          </w:p>
        </w:tc>
      </w:tr>
      <w:tr>
        <w:trPr>
          <w:trHeight w:val="257"/>
        </w:trPr>
        <w:tc>
          <w:tcPr>
            <w:tcW w:w="2220" w:type="dxa"/>
            <w:vAlign w:val="bottom"/>
            <w:tcBorders>
              <w:left w:val="single" w:sz="8" w:color="auto"/>
              <w:right w:val="single" w:sz="8" w:color="auto"/>
            </w:tcBorders>
          </w:tcPr>
          <w:p>
            <w:pPr>
              <w:spacing w:after="0"/>
              <w:rPr>
                <w:sz w:val="22"/>
                <w:szCs w:val="22"/>
                <w:color w:val="auto"/>
              </w:rPr>
            </w:pPr>
          </w:p>
        </w:tc>
        <w:tc>
          <w:tcPr>
            <w:tcW w:w="90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unvested, shall be forfeited and canceled in its entirety and (ii) if a portion of your Award will have vested after</w:t>
            </w:r>
          </w:p>
        </w:tc>
      </w:tr>
      <w:tr>
        <w:trPr>
          <w:trHeight w:val="243"/>
        </w:trPr>
        <w:tc>
          <w:tcPr>
            <w:tcW w:w="2220" w:type="dxa"/>
            <w:vAlign w:val="bottom"/>
            <w:tcBorders>
              <w:left w:val="single" w:sz="8" w:color="auto"/>
              <w:right w:val="single" w:sz="8" w:color="auto"/>
            </w:tcBorders>
          </w:tcPr>
          <w:p>
            <w:pPr>
              <w:spacing w:after="0"/>
              <w:rPr>
                <w:sz w:val="21"/>
                <w:szCs w:val="21"/>
                <w:color w:val="auto"/>
              </w:rPr>
            </w:pPr>
          </w:p>
        </w:tc>
        <w:tc>
          <w:tcPr>
            <w:tcW w:w="90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the Underlying Event, then IAC shall be entitled to recover from you at any time within two (2) years after such</w:t>
            </w:r>
          </w:p>
        </w:tc>
      </w:tr>
      <w:tr>
        <w:trPr>
          <w:trHeight w:val="243"/>
        </w:trPr>
        <w:tc>
          <w:tcPr>
            <w:tcW w:w="2220" w:type="dxa"/>
            <w:vAlign w:val="bottom"/>
            <w:tcBorders>
              <w:left w:val="single" w:sz="8" w:color="auto"/>
              <w:right w:val="single" w:sz="8" w:color="auto"/>
            </w:tcBorders>
          </w:tcPr>
          <w:p>
            <w:pPr>
              <w:spacing w:after="0"/>
              <w:rPr>
                <w:sz w:val="21"/>
                <w:szCs w:val="21"/>
                <w:color w:val="auto"/>
              </w:rPr>
            </w:pPr>
          </w:p>
        </w:tc>
        <w:tc>
          <w:tcPr>
            <w:tcW w:w="90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vesting, and you shall pay over to IAC, any amounts realized as a result of such vesting. This remedy shall be</w:t>
            </w:r>
          </w:p>
        </w:tc>
      </w:tr>
      <w:tr>
        <w:trPr>
          <w:trHeight w:val="258"/>
        </w:trPr>
        <w:tc>
          <w:tcPr>
            <w:tcW w:w="2220" w:type="dxa"/>
            <w:vAlign w:val="bottom"/>
            <w:tcBorders>
              <w:left w:val="single" w:sz="8" w:color="auto"/>
              <w:right w:val="single" w:sz="8" w:color="auto"/>
            </w:tcBorders>
          </w:tcPr>
          <w:p>
            <w:pPr>
              <w:spacing w:after="0"/>
              <w:rPr>
                <w:sz w:val="22"/>
                <w:szCs w:val="22"/>
                <w:color w:val="auto"/>
              </w:rPr>
            </w:pPr>
          </w:p>
        </w:tc>
        <w:tc>
          <w:tcPr>
            <w:tcW w:w="90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without prejudice to, or waiver of, any other remedies IAC and/or its Subsidiaries may have in such event.</w:t>
            </w:r>
          </w:p>
        </w:tc>
      </w:tr>
      <w:tr>
        <w:trPr>
          <w:trHeight w:val="170"/>
        </w:trPr>
        <w:tc>
          <w:tcPr>
            <w:tcW w:w="2220" w:type="dxa"/>
            <w:vAlign w:val="bottom"/>
            <w:tcBorders>
              <w:left w:val="single" w:sz="8" w:color="auto"/>
              <w:bottom w:val="single" w:sz="8" w:color="auto"/>
              <w:right w:val="single" w:sz="8" w:color="auto"/>
            </w:tcBorders>
          </w:tcPr>
          <w:p>
            <w:pPr>
              <w:spacing w:after="0"/>
              <w:rPr>
                <w:sz w:val="14"/>
                <w:szCs w:val="14"/>
                <w:color w:val="auto"/>
              </w:rPr>
            </w:pPr>
          </w:p>
        </w:tc>
        <w:tc>
          <w:tcPr>
            <w:tcW w:w="9040" w:type="dxa"/>
            <w:vAlign w:val="bottom"/>
            <w:tcBorders>
              <w:bottom w:val="single" w:sz="8" w:color="auto"/>
              <w:right w:val="single" w:sz="8" w:color="auto"/>
            </w:tcBorders>
          </w:tcPr>
          <w:p>
            <w:pPr>
              <w:spacing w:after="0"/>
              <w:rPr>
                <w:sz w:val="14"/>
                <w:szCs w:val="14"/>
                <w:color w:val="auto"/>
              </w:rPr>
            </w:pPr>
          </w:p>
        </w:tc>
      </w:t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15"/>
                <w:szCs w:val="15"/>
                <w:color w:val="auto"/>
              </w:rPr>
              <w:t>____________________</w:t>
            </w:r>
          </w:p>
        </w:tc>
        <w:tc>
          <w:tcPr>
            <w:tcW w:w="9040" w:type="dxa"/>
            <w:vAlign w:val="bottom"/>
          </w:tcPr>
          <w:p>
            <w:pPr>
              <w:spacing w:after="0"/>
              <w:rPr>
                <w:sz w:val="24"/>
                <w:szCs w:val="24"/>
                <w:color w:val="auto"/>
              </w:rPr>
            </w:pPr>
          </w:p>
        </w:tc>
      </w:tr>
    </w:tbl>
    <w:p>
      <w:pPr>
        <w:spacing w:after="0" w:line="139" w:lineRule="exact"/>
        <w:rPr>
          <w:sz w:val="20"/>
          <w:szCs w:val="20"/>
          <w:color w:val="auto"/>
        </w:rPr>
      </w:pPr>
    </w:p>
    <w:p>
      <w:pPr>
        <w:ind w:right="20" w:firstLine="8"/>
        <w:spacing w:after="0" w:line="269" w:lineRule="auto"/>
        <w:tabs>
          <w:tab w:leader="none" w:pos="217" w:val="left"/>
        </w:tabs>
        <w:numPr>
          <w:ilvl w:val="0"/>
          <w:numId w:val="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Vesting terms shall be determined by the Committee, with the vesting of IAC RSUs granted: (i) in 2023 (the “2023 RSUs”) and 2024 (the “2024 RSUs”) generally vesting in equal annual installments over four years on the anniversary of the grant date, subject to continued service, or, if the award recipient holds RSUs that cliff vested in February 2025, vesting in installments of 25%, 0%, 50% and 25% over four years on the anniversary of the grant date, and (ii) in 2025 (the “2025 RSUs”) generally vesting in equal annual installments over three years on the anniversary of the grant date. IAC’s Chief Financial and Chief Operating Officer (vesting 37.5%, 37.5%, 12.5% and 12.5% over four years on the anniversary of the grant date for the 2023 RSUs, vesting 0%, 50%, 0% and 50% over four years on the anniversary of the grant date for the 2024 RSUs and vesting 37.5% and 62.5% on the first and third anniversaries of the grant date for the 2025 RSUs, in all cases, subject to continued service), Chief Legal Officer (vesting 25%, 0%, 50% and 25% over four years on the anniversary of the grant date for the 2023 RSUs, vesting 0%, 33%, 33% and 33% over four years on the anniversary of the grant date for the 2024 RSUs and vesting 33%, 33% and 33% over three years on the anniversary of the grant date for the 2025 RSUs, in all cases, subject to continued service) and Vice Chairman (vesting 33%, 33% and 33% over three years on the anniversary of the grant date, subject to continued service, for the 2025 RSUs) received IAC RSUs in February 2023, February 2024 and/or February 2025.</w:t>
      </w:r>
    </w:p>
    <w:p>
      <w:pPr>
        <w:sectPr>
          <w:pgSz w:w="11900" w:h="16838" w:orient="portrait"/>
          <w:cols w:equalWidth="0" w:num="1">
            <w:col w:w="11260"/>
          </w:cols>
          <w:pgMar w:left="320" w:top="114" w:right="319" w:bottom="1440" w:gutter="0" w:footer="0" w:header="0"/>
        </w:sectPr>
      </w:pPr>
    </w:p>
    <w:bookmarkStart w:id="172" w:name="page173"/>
    <w:bookmarkEnd w:id="172"/>
    <w:p>
      <w:pPr>
        <w:ind w:left="10220"/>
        <w:spacing w:after="0"/>
        <w:rPr>
          <w:sz w:val="20"/>
          <w:szCs w:val="20"/>
          <w:color w:val="auto"/>
        </w:rPr>
      </w:pPr>
      <w:r>
        <w:rPr>
          <w:rFonts w:ascii="Times New Roman" w:cs="Times New Roman" w:eastAsia="Times New Roman" w:hAnsi="Times New Roman"/>
          <w:sz w:val="20"/>
          <w:szCs w:val="20"/>
          <w:b w:val="1"/>
          <w:bCs w:val="1"/>
          <w:color w:val="auto"/>
        </w:rPr>
        <w:t>Exhibit 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710565</wp:posOffset>
            </wp:positionV>
            <wp:extent cx="7140575" cy="443166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4">
                      <a:extLst>
                        <a:ext uri="{28A0092B-C50C-407E-A947-70E740481C1C}"/>
                      </a:extLst>
                    </a:blip>
                    <a:srcRect/>
                    <a:stretch>
                      <a:fillRect/>
                    </a:stretch>
                  </pic:blipFill>
                  <pic:spPr bwMode="auto">
                    <a:xfrm>
                      <a:off x="0" y="0"/>
                      <a:ext cx="7140575" cy="4431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92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Change in Control:</w:t>
            </w:r>
          </w:p>
        </w:tc>
        <w:tc>
          <w:tcPr>
            <w:tcW w:w="9340" w:type="dxa"/>
            <w:vAlign w:val="bottom"/>
          </w:tcPr>
          <w:p>
            <w:pPr>
              <w:ind w:left="220"/>
              <w:spacing w:after="0"/>
              <w:rPr>
                <w:sz w:val="20"/>
                <w:szCs w:val="20"/>
                <w:color w:val="auto"/>
              </w:rPr>
            </w:pPr>
            <w:r>
              <w:rPr>
                <w:rFonts w:ascii="Times New Roman" w:cs="Times New Roman" w:eastAsia="Times New Roman" w:hAnsi="Times New Roman"/>
                <w:sz w:val="20"/>
                <w:szCs w:val="20"/>
                <w:color w:val="auto"/>
                <w:w w:val="99"/>
              </w:rPr>
              <w:t>Upon a Termination of Employment in your case during the two (2) year period following a Change in Control of</w:t>
            </w:r>
          </w:p>
        </w:tc>
      </w:tr>
      <w:tr>
        <w:trPr>
          <w:trHeight w:val="257"/>
        </w:trPr>
        <w:tc>
          <w:tcPr>
            <w:tcW w:w="1920" w:type="dxa"/>
            <w:vAlign w:val="bottom"/>
          </w:tcPr>
          <w:p>
            <w:pPr>
              <w:spacing w:after="0"/>
              <w:rPr>
                <w:sz w:val="22"/>
                <w:szCs w:val="22"/>
                <w:color w:val="auto"/>
              </w:rPr>
            </w:pPr>
          </w:p>
        </w:tc>
        <w:tc>
          <w:tcPr>
            <w:tcW w:w="93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IAC other than for Cause or Disability or by you for Good Reason, the vesting of 100% of the RSUs shall be</w:t>
            </w:r>
          </w:p>
        </w:tc>
      </w:tr>
      <w:tr>
        <w:trPr>
          <w:trHeight w:val="258"/>
        </w:trPr>
        <w:tc>
          <w:tcPr>
            <w:tcW w:w="1920" w:type="dxa"/>
            <w:vAlign w:val="bottom"/>
          </w:tcPr>
          <w:p>
            <w:pPr>
              <w:spacing w:after="0"/>
              <w:rPr>
                <w:sz w:val="22"/>
                <w:szCs w:val="22"/>
                <w:color w:val="auto"/>
              </w:rPr>
            </w:pPr>
          </w:p>
        </w:tc>
        <w:tc>
          <w:tcPr>
            <w:tcW w:w="93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accelerated as of the date of such termination or resignation.</w:t>
            </w:r>
          </w:p>
        </w:tc>
      </w:tr>
      <w:tr>
        <w:trPr>
          <w:trHeight w:val="169"/>
        </w:trPr>
        <w:tc>
          <w:tcPr>
            <w:tcW w:w="1920" w:type="dxa"/>
            <w:vAlign w:val="bottom"/>
            <w:tcBorders>
              <w:bottom w:val="single" w:sz="8" w:color="auto"/>
            </w:tcBorders>
          </w:tcPr>
          <w:p>
            <w:pPr>
              <w:spacing w:after="0"/>
              <w:rPr>
                <w:sz w:val="14"/>
                <w:szCs w:val="14"/>
                <w:color w:val="auto"/>
              </w:rPr>
            </w:pPr>
          </w:p>
        </w:tc>
        <w:tc>
          <w:tcPr>
            <w:tcW w:w="9340" w:type="dxa"/>
            <w:vAlign w:val="bottom"/>
            <w:tcBorders>
              <w:bottom w:val="single" w:sz="8" w:color="auto"/>
            </w:tcBorders>
          </w:tcPr>
          <w:p>
            <w:pPr>
              <w:spacing w:after="0"/>
              <w:rPr>
                <w:sz w:val="14"/>
                <w:szCs w:val="14"/>
                <w:color w:val="auto"/>
              </w:rPr>
            </w:pPr>
          </w:p>
        </w:tc>
      </w:tr>
      <w:tr>
        <w:trPr>
          <w:trHeight w:val="254"/>
        </w:trPr>
        <w:tc>
          <w:tcPr>
            <w:tcW w:w="192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Dividend Rights:</w:t>
            </w:r>
          </w:p>
        </w:tc>
        <w:tc>
          <w:tcPr>
            <w:tcW w:w="93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No cash dividends will be paid on RSUs (or on the shares of Common Stock underlying the RSUs). Stock</w:t>
            </w:r>
          </w:p>
        </w:tc>
      </w:tr>
      <w:tr>
        <w:trPr>
          <w:trHeight w:val="257"/>
        </w:trPr>
        <w:tc>
          <w:tcPr>
            <w:tcW w:w="1920" w:type="dxa"/>
            <w:vAlign w:val="bottom"/>
          </w:tcPr>
          <w:p>
            <w:pPr>
              <w:spacing w:after="0"/>
              <w:rPr>
                <w:sz w:val="22"/>
                <w:szCs w:val="22"/>
                <w:color w:val="auto"/>
              </w:rPr>
            </w:pPr>
          </w:p>
        </w:tc>
        <w:tc>
          <w:tcPr>
            <w:tcW w:w="9340" w:type="dxa"/>
            <w:vAlign w:val="bottom"/>
          </w:tcPr>
          <w:p>
            <w:pPr>
              <w:ind w:left="220"/>
              <w:spacing w:after="0"/>
              <w:rPr>
                <w:sz w:val="20"/>
                <w:szCs w:val="20"/>
                <w:color w:val="auto"/>
              </w:rPr>
            </w:pPr>
            <w:r>
              <w:rPr>
                <w:rFonts w:ascii="Times New Roman" w:cs="Times New Roman" w:eastAsia="Times New Roman" w:hAnsi="Times New Roman"/>
                <w:sz w:val="20"/>
                <w:szCs w:val="20"/>
                <w:color w:val="auto"/>
                <w:w w:val="99"/>
              </w:rPr>
              <w:t>dividends, distributions and extraordinary, significant non-recurring cash dividends may result in an adjustment to</w:t>
            </w:r>
          </w:p>
        </w:tc>
      </w:tr>
      <w:tr>
        <w:trPr>
          <w:trHeight w:val="243"/>
        </w:trPr>
        <w:tc>
          <w:tcPr>
            <w:tcW w:w="1920" w:type="dxa"/>
            <w:vAlign w:val="bottom"/>
          </w:tcPr>
          <w:p>
            <w:pPr>
              <w:spacing w:after="0"/>
              <w:rPr>
                <w:sz w:val="21"/>
                <w:szCs w:val="21"/>
                <w:color w:val="auto"/>
              </w:rPr>
            </w:pPr>
          </w:p>
        </w:tc>
        <w:tc>
          <w:tcPr>
            <w:tcW w:w="93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the number of RSUs, as determined by the Compensation and Human Resources Committee of the IAC Board of</w:t>
            </w:r>
          </w:p>
        </w:tc>
      </w:tr>
      <w:tr>
        <w:trPr>
          <w:trHeight w:val="258"/>
        </w:trPr>
        <w:tc>
          <w:tcPr>
            <w:tcW w:w="1920" w:type="dxa"/>
            <w:vAlign w:val="bottom"/>
          </w:tcPr>
          <w:p>
            <w:pPr>
              <w:spacing w:after="0"/>
              <w:rPr>
                <w:sz w:val="22"/>
                <w:szCs w:val="22"/>
                <w:color w:val="auto"/>
              </w:rPr>
            </w:pPr>
          </w:p>
        </w:tc>
        <w:tc>
          <w:tcPr>
            <w:tcW w:w="93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Directors (or as otherwise provided by the Plan).</w:t>
            </w:r>
          </w:p>
        </w:tc>
      </w:tr>
      <w:tr>
        <w:trPr>
          <w:trHeight w:val="169"/>
        </w:trPr>
        <w:tc>
          <w:tcPr>
            <w:tcW w:w="1920" w:type="dxa"/>
            <w:vAlign w:val="bottom"/>
            <w:tcBorders>
              <w:bottom w:val="single" w:sz="8" w:color="auto"/>
            </w:tcBorders>
          </w:tcPr>
          <w:p>
            <w:pPr>
              <w:spacing w:after="0"/>
              <w:rPr>
                <w:sz w:val="14"/>
                <w:szCs w:val="14"/>
                <w:color w:val="auto"/>
              </w:rPr>
            </w:pPr>
          </w:p>
        </w:tc>
        <w:tc>
          <w:tcPr>
            <w:tcW w:w="9340" w:type="dxa"/>
            <w:vAlign w:val="bottom"/>
            <w:tcBorders>
              <w:bottom w:val="single" w:sz="8" w:color="auto"/>
            </w:tcBorders>
          </w:tcPr>
          <w:p>
            <w:pPr>
              <w:spacing w:after="0"/>
              <w:rPr>
                <w:sz w:val="14"/>
                <w:szCs w:val="14"/>
                <w:color w:val="auto"/>
              </w:rPr>
            </w:pPr>
          </w:p>
        </w:tc>
      </w:tr>
      <w:tr>
        <w:trPr>
          <w:trHeight w:val="269"/>
        </w:trPr>
        <w:tc>
          <w:tcPr>
            <w:tcW w:w="192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Form of Payout:</w:t>
            </w:r>
          </w:p>
        </w:tc>
        <w:tc>
          <w:tcPr>
            <w:tcW w:w="93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Vested RSUs held by employees in the United States are settled in the form of shares of Common Stock.</w:t>
            </w:r>
          </w:p>
        </w:tc>
      </w:tr>
      <w:tr>
        <w:trPr>
          <w:trHeight w:val="170"/>
        </w:trPr>
        <w:tc>
          <w:tcPr>
            <w:tcW w:w="1920" w:type="dxa"/>
            <w:vAlign w:val="bottom"/>
            <w:tcBorders>
              <w:bottom w:val="single" w:sz="8" w:color="auto"/>
            </w:tcBorders>
          </w:tcPr>
          <w:p>
            <w:pPr>
              <w:spacing w:after="0"/>
              <w:rPr>
                <w:sz w:val="14"/>
                <w:szCs w:val="14"/>
                <w:color w:val="auto"/>
              </w:rPr>
            </w:pPr>
          </w:p>
        </w:tc>
        <w:tc>
          <w:tcPr>
            <w:tcW w:w="9340" w:type="dxa"/>
            <w:vAlign w:val="bottom"/>
            <w:tcBorders>
              <w:bottom w:val="single" w:sz="8" w:color="auto"/>
            </w:tcBorders>
          </w:tcPr>
          <w:p>
            <w:pPr>
              <w:spacing w:after="0"/>
              <w:rPr>
                <w:sz w:val="14"/>
                <w:szCs w:val="14"/>
                <w:color w:val="auto"/>
              </w:rPr>
            </w:pPr>
          </w:p>
        </w:tc>
      </w:tr>
      <w:tr>
        <w:trPr>
          <w:trHeight w:val="254"/>
        </w:trPr>
        <w:tc>
          <w:tcPr>
            <w:tcW w:w="192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Withholding Taxes:</w:t>
            </w:r>
          </w:p>
        </w:tc>
        <w:tc>
          <w:tcPr>
            <w:tcW w:w="93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Upon vesting, RSUs are settled net of amounts necessary to cover withholding taxes, with shares of Common</w:t>
            </w:r>
          </w:p>
        </w:tc>
      </w:tr>
      <w:tr>
        <w:trPr>
          <w:trHeight w:val="256"/>
        </w:trPr>
        <w:tc>
          <w:tcPr>
            <w:tcW w:w="1920" w:type="dxa"/>
            <w:vAlign w:val="bottom"/>
          </w:tcPr>
          <w:p>
            <w:pPr>
              <w:spacing w:after="0"/>
              <w:rPr>
                <w:sz w:val="22"/>
                <w:szCs w:val="22"/>
                <w:color w:val="auto"/>
              </w:rPr>
            </w:pPr>
          </w:p>
        </w:tc>
        <w:tc>
          <w:tcPr>
            <w:tcW w:w="93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Stock withheld from vested awards for employees in the United States and cash withheld from vested awards for</w:t>
            </w:r>
          </w:p>
        </w:tc>
      </w:tr>
      <w:tr>
        <w:trPr>
          <w:trHeight w:val="258"/>
        </w:trPr>
        <w:tc>
          <w:tcPr>
            <w:tcW w:w="1920" w:type="dxa"/>
            <w:vAlign w:val="bottom"/>
          </w:tcPr>
          <w:p>
            <w:pPr>
              <w:spacing w:after="0"/>
              <w:rPr>
                <w:sz w:val="22"/>
                <w:szCs w:val="22"/>
                <w:color w:val="auto"/>
              </w:rPr>
            </w:pPr>
          </w:p>
        </w:tc>
        <w:tc>
          <w:tcPr>
            <w:tcW w:w="93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employees outside the United States.</w:t>
            </w:r>
          </w:p>
        </w:tc>
      </w:tr>
      <w:tr>
        <w:trPr>
          <w:trHeight w:val="170"/>
        </w:trPr>
        <w:tc>
          <w:tcPr>
            <w:tcW w:w="1920" w:type="dxa"/>
            <w:vAlign w:val="bottom"/>
            <w:tcBorders>
              <w:bottom w:val="single" w:sz="8" w:color="auto"/>
            </w:tcBorders>
          </w:tcPr>
          <w:p>
            <w:pPr>
              <w:spacing w:after="0"/>
              <w:rPr>
                <w:sz w:val="14"/>
                <w:szCs w:val="14"/>
                <w:color w:val="auto"/>
              </w:rPr>
            </w:pPr>
          </w:p>
        </w:tc>
        <w:tc>
          <w:tcPr>
            <w:tcW w:w="9340" w:type="dxa"/>
            <w:vAlign w:val="bottom"/>
            <w:tcBorders>
              <w:bottom w:val="single" w:sz="8" w:color="auto"/>
            </w:tcBorders>
          </w:tcPr>
          <w:p>
            <w:pPr>
              <w:spacing w:after="0"/>
              <w:rPr>
                <w:sz w:val="14"/>
                <w:szCs w:val="14"/>
                <w:color w:val="auto"/>
              </w:rPr>
            </w:pPr>
          </w:p>
        </w:tc>
      </w:tr>
      <w:tr>
        <w:trPr>
          <w:trHeight w:val="250"/>
        </w:trPr>
        <w:tc>
          <w:tcPr>
            <w:tcW w:w="192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Award Not An</w:t>
            </w:r>
          </w:p>
        </w:tc>
        <w:tc>
          <w:tcPr>
            <w:tcW w:w="9340" w:type="dxa"/>
            <w:vAlign w:val="bottom"/>
          </w:tcPr>
          <w:p>
            <w:pPr>
              <w:ind w:left="220"/>
              <w:spacing w:after="0"/>
              <w:rPr>
                <w:sz w:val="20"/>
                <w:szCs w:val="20"/>
                <w:color w:val="auto"/>
              </w:rPr>
            </w:pPr>
            <w:r>
              <w:rPr>
                <w:rFonts w:ascii="Times New Roman" w:cs="Times New Roman" w:eastAsia="Times New Roman" w:hAnsi="Times New Roman"/>
                <w:sz w:val="20"/>
                <w:szCs w:val="20"/>
                <w:color w:val="auto"/>
                <w:w w:val="99"/>
              </w:rPr>
              <w:t>Your Award is not an employment or service contract. Nothing in this Award Notice or the 2018 Plan shall confer</w:t>
            </w:r>
          </w:p>
        </w:tc>
      </w:tr>
      <w:tr>
        <w:trPr>
          <w:trHeight w:val="261"/>
        </w:trPr>
        <w:tc>
          <w:tcPr>
            <w:tcW w:w="11260" w:type="dxa"/>
            <w:vAlign w:val="bottom"/>
            <w:gridSpan w:val="2"/>
          </w:tcPr>
          <w:p>
            <w:pPr>
              <w:ind w:left="40"/>
              <w:spacing w:after="0"/>
              <w:rPr>
                <w:sz w:val="20"/>
                <w:szCs w:val="20"/>
                <w:color w:val="auto"/>
              </w:rPr>
            </w:pPr>
            <w:r>
              <w:rPr>
                <w:rFonts w:ascii="Times New Roman" w:cs="Times New Roman" w:eastAsia="Times New Roman" w:hAnsi="Times New Roman"/>
                <w:sz w:val="20"/>
                <w:szCs w:val="20"/>
                <w:b w:val="1"/>
                <w:bCs w:val="1"/>
                <w:color w:val="auto"/>
              </w:rPr>
              <w:t xml:space="preserve">Employment Contract: </w:t>
            </w:r>
            <w:r>
              <w:rPr>
                <w:rFonts w:ascii="Times New Roman" w:cs="Times New Roman" w:eastAsia="Times New Roman" w:hAnsi="Times New Roman"/>
                <w:sz w:val="20"/>
                <w:szCs w:val="20"/>
                <w:color w:val="auto"/>
              </w:rPr>
              <w:t>upon you any right to continue in the service of IAC or any of its Subsidiaries, nor shall the award of your RSUs</w:t>
            </w:r>
          </w:p>
        </w:tc>
      </w:tr>
      <w:tr>
        <w:trPr>
          <w:trHeight w:val="243"/>
        </w:trPr>
        <w:tc>
          <w:tcPr>
            <w:tcW w:w="1920" w:type="dxa"/>
            <w:vAlign w:val="bottom"/>
          </w:tcPr>
          <w:p>
            <w:pPr>
              <w:spacing w:after="0"/>
              <w:rPr>
                <w:sz w:val="21"/>
                <w:szCs w:val="21"/>
                <w:color w:val="auto"/>
              </w:rPr>
            </w:pPr>
          </w:p>
        </w:tc>
        <w:tc>
          <w:tcPr>
            <w:tcW w:w="9340" w:type="dxa"/>
            <w:vAlign w:val="bottom"/>
          </w:tcPr>
          <w:p>
            <w:pPr>
              <w:ind w:left="220"/>
              <w:spacing w:after="0"/>
              <w:rPr>
                <w:sz w:val="20"/>
                <w:szCs w:val="20"/>
                <w:color w:val="auto"/>
              </w:rPr>
            </w:pPr>
            <w:r>
              <w:rPr>
                <w:rFonts w:ascii="Times New Roman" w:cs="Times New Roman" w:eastAsia="Times New Roman" w:hAnsi="Times New Roman"/>
                <w:sz w:val="20"/>
                <w:szCs w:val="20"/>
                <w:color w:val="auto"/>
                <w:w w:val="99"/>
              </w:rPr>
              <w:t>interfere in any way with the rights of IAC or any of its Subsidiaries to terminate your service at any time, with or</w:t>
            </w:r>
          </w:p>
        </w:tc>
      </w:tr>
      <w:tr>
        <w:trPr>
          <w:trHeight w:val="258"/>
        </w:trPr>
        <w:tc>
          <w:tcPr>
            <w:tcW w:w="1920" w:type="dxa"/>
            <w:vAlign w:val="bottom"/>
          </w:tcPr>
          <w:p>
            <w:pPr>
              <w:spacing w:after="0"/>
              <w:rPr>
                <w:sz w:val="22"/>
                <w:szCs w:val="22"/>
                <w:color w:val="auto"/>
              </w:rPr>
            </w:pPr>
          </w:p>
        </w:tc>
        <w:tc>
          <w:tcPr>
            <w:tcW w:w="93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without Cause.</w:t>
            </w:r>
          </w:p>
        </w:tc>
      </w:tr>
    </w:tbl>
    <w:p>
      <w:pPr>
        <w:spacing w:after="0" w:line="197" w:lineRule="exact"/>
        <w:rPr>
          <w:sz w:val="20"/>
          <w:szCs w:val="20"/>
          <w:color w:val="auto"/>
        </w:rPr>
      </w:pPr>
    </w:p>
    <w:p>
      <w:pPr>
        <w:ind w:left="2140" w:right="500" w:hanging="2092"/>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Terms and Conditions: </w:t>
      </w:r>
      <w:r>
        <w:rPr>
          <w:rFonts w:ascii="Times New Roman" w:cs="Times New Roman" w:eastAsia="Times New Roman" w:hAnsi="Times New Roman"/>
          <w:sz w:val="20"/>
          <w:szCs w:val="20"/>
          <w:color w:val="auto"/>
        </w:rPr>
        <w:t>Your RSU award is subject to the related Terms and Conditions and to the 2018 Plan, which are incorporated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herein by reference.</w:t>
      </w:r>
    </w:p>
    <w:p>
      <w:pPr>
        <w:spacing w:after="0" w:line="196" w:lineRule="exact"/>
        <w:rPr>
          <w:sz w:val="20"/>
          <w:szCs w:val="20"/>
          <w:color w:val="auto"/>
        </w:rPr>
      </w:pPr>
    </w:p>
    <w:p>
      <w:pPr>
        <w:ind w:left="2140" w:right="180"/>
        <w:spacing w:after="0" w:line="283" w:lineRule="auto"/>
        <w:rPr>
          <w:sz w:val="20"/>
          <w:szCs w:val="20"/>
          <w:color w:val="auto"/>
        </w:rPr>
      </w:pPr>
      <w:r>
        <w:rPr>
          <w:rFonts w:ascii="Times New Roman" w:cs="Times New Roman" w:eastAsia="Times New Roman" w:hAnsi="Times New Roman"/>
          <w:sz w:val="20"/>
          <w:szCs w:val="20"/>
          <w:color w:val="auto"/>
        </w:rPr>
        <w:t>You have been furnished with copies of these documents in connection with your receipt of this Award. You may also obtain copies of these documents from IAC’s human resources department.</w:t>
      </w:r>
    </w:p>
    <w:p>
      <w:pPr>
        <w:spacing w:after="0" w:line="187" w:lineRule="exact"/>
        <w:rPr>
          <w:sz w:val="20"/>
          <w:szCs w:val="20"/>
          <w:color w:val="auto"/>
        </w:rPr>
      </w:pPr>
    </w:p>
    <w:p>
      <w:pPr>
        <w:ind w:left="2140" w:right="140"/>
        <w:spacing w:after="0" w:line="297" w:lineRule="auto"/>
        <w:rPr>
          <w:sz w:val="20"/>
          <w:szCs w:val="20"/>
          <w:color w:val="auto"/>
        </w:rPr>
      </w:pPr>
      <w:r>
        <w:rPr>
          <w:rFonts w:ascii="Times New Roman" w:cs="Times New Roman" w:eastAsia="Times New Roman" w:hAnsi="Times New Roman"/>
          <w:sz w:val="20"/>
          <w:szCs w:val="20"/>
          <w:color w:val="auto"/>
        </w:rPr>
        <w:t>Without a complete review of these documents, you will not have a full understanding of all the material terms of your RSU award.</w:t>
      </w:r>
    </w:p>
    <w:p>
      <w:pPr>
        <w:sectPr>
          <w:pgSz w:w="11900" w:h="16838" w:orient="portrait"/>
          <w:cols w:equalWidth="0" w:num="1">
            <w:col w:w="11260"/>
          </w:cols>
          <w:pgMar w:left="320" w:top="114" w:right="319" w:bottom="1440" w:gutter="0" w:footer="0" w:header="0"/>
        </w:sectPr>
      </w:pPr>
    </w:p>
    <w:bookmarkStart w:id="173" w:name="page174"/>
    <w:bookmarkEnd w:id="173"/>
    <w:p>
      <w:pPr>
        <w:jc w:val="right"/>
        <w:spacing w:after="0"/>
        <w:rPr>
          <w:sz w:val="20"/>
          <w:szCs w:val="20"/>
          <w:color w:val="auto"/>
        </w:rPr>
      </w:pPr>
      <w:r>
        <w:rPr>
          <w:rFonts w:ascii="Times New Roman" w:cs="Times New Roman" w:eastAsia="Times New Roman" w:hAnsi="Times New Roman"/>
          <w:sz w:val="20"/>
          <w:szCs w:val="20"/>
          <w:b w:val="1"/>
          <w:bCs w:val="1"/>
          <w:color w:val="auto"/>
        </w:rPr>
        <w:t>Exhibit 10.8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Terms and Conditions for 2023, 2024 and 2025 IAC Restricted Stock Unit Awards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Granted Under the 2018 Stock and Annual Incentive Plan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166" w:lineRule="exact"/>
        <w:rPr>
          <w:sz w:val="20"/>
          <w:szCs w:val="20"/>
          <w:color w:val="auto"/>
        </w:rPr>
      </w:pPr>
    </w:p>
    <w:p>
      <w:pPr>
        <w:jc w:val="both"/>
        <w:ind w:right="100" w:firstLine="648"/>
        <w:spacing w:after="0" w:line="275" w:lineRule="auto"/>
        <w:rPr>
          <w:sz w:val="20"/>
          <w:szCs w:val="20"/>
          <w:color w:val="auto"/>
        </w:rPr>
      </w:pPr>
      <w:r>
        <w:rPr>
          <w:rFonts w:ascii="Times New Roman" w:cs="Times New Roman" w:eastAsia="Times New Roman" w:hAnsi="Times New Roman"/>
          <w:sz w:val="20"/>
          <w:szCs w:val="20"/>
          <w:color w:val="auto"/>
        </w:rPr>
        <w:t>These Terms and Conditions apply to your 2023, 2024 and/or 2025 award of restricted stock units (the “Award”) granted pursuant to Section 7 of the IAC/InterActiveCorp 2018 Stock and Annual Incentive Plan (the “2018 Plan”). You were notified of your Award by way of an award notice (the “Award Notice”).</w:t>
      </w:r>
    </w:p>
    <w:p>
      <w:pPr>
        <w:spacing w:after="0" w:line="96" w:lineRule="exact"/>
        <w:rPr>
          <w:sz w:val="20"/>
          <w:szCs w:val="20"/>
          <w:color w:val="auto"/>
        </w:rPr>
      </w:pPr>
    </w:p>
    <w:p>
      <w:pPr>
        <w:jc w:val="both"/>
        <w:ind w:right="80" w:firstLine="648"/>
        <w:spacing w:after="0" w:line="287" w:lineRule="auto"/>
        <w:rPr>
          <w:sz w:val="20"/>
          <w:szCs w:val="20"/>
          <w:color w:val="auto"/>
        </w:rPr>
      </w:pPr>
      <w:r>
        <w:rPr>
          <w:rFonts w:ascii="Times New Roman" w:cs="Times New Roman" w:eastAsia="Times New Roman" w:hAnsi="Times New Roman"/>
          <w:sz w:val="20"/>
          <w:szCs w:val="20"/>
          <w:b w:val="1"/>
          <w:bCs w:val="1"/>
          <w:color w:val="auto"/>
        </w:rPr>
        <w:t>ALL CAPITALIZED TERMS USED HEREIN, TO THE EXTENT NOT DEFINED, SHALL HAVE THE MEANINGS SET FORTH IN 2018 PLAN.</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Continuous Service</w:t>
      </w:r>
    </w:p>
    <w:p>
      <w:pPr>
        <w:spacing w:after="0" w:line="166" w:lineRule="exact"/>
        <w:rPr>
          <w:sz w:val="20"/>
          <w:szCs w:val="20"/>
          <w:color w:val="auto"/>
        </w:rPr>
      </w:pPr>
    </w:p>
    <w:p>
      <w:pPr>
        <w:jc w:val="both"/>
        <w:ind w:right="60" w:firstLine="648"/>
        <w:spacing w:after="0" w:line="268" w:lineRule="auto"/>
        <w:rPr>
          <w:sz w:val="20"/>
          <w:szCs w:val="20"/>
          <w:color w:val="auto"/>
        </w:rPr>
      </w:pPr>
      <w:r>
        <w:rPr>
          <w:rFonts w:ascii="Times New Roman" w:cs="Times New Roman" w:eastAsia="Times New Roman" w:hAnsi="Times New Roman"/>
          <w:sz w:val="20"/>
          <w:szCs w:val="20"/>
          <w:color w:val="auto"/>
        </w:rPr>
        <w:t>In order for your Award to vest, you must be continuously employed by IAC or any of its Subsidiaries during the Restriction Period (as defined below). Nothing in your Award Notice, these Terms and Conditions or the 2018 Plan shall confer upon you any right to continue in the employ or service of IAC or any of its Subsidiaries or interfere in any way with their rights to terminate your employment or service at any time.</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Vesting</w:t>
      </w:r>
    </w:p>
    <w:p>
      <w:pPr>
        <w:spacing w:after="0" w:line="166" w:lineRule="exact"/>
        <w:rPr>
          <w:sz w:val="20"/>
          <w:szCs w:val="20"/>
          <w:color w:val="auto"/>
        </w:rPr>
      </w:pPr>
    </w:p>
    <w:p>
      <w:pPr>
        <w:ind w:right="220" w:firstLine="648"/>
        <w:spacing w:after="0" w:line="297" w:lineRule="auto"/>
        <w:rPr>
          <w:sz w:val="20"/>
          <w:szCs w:val="20"/>
          <w:color w:val="auto"/>
        </w:rPr>
      </w:pPr>
      <w:r>
        <w:rPr>
          <w:rFonts w:ascii="Times New Roman" w:cs="Times New Roman" w:eastAsia="Times New Roman" w:hAnsi="Times New Roman"/>
          <w:sz w:val="20"/>
          <w:szCs w:val="20"/>
          <w:color w:val="auto"/>
        </w:rPr>
        <w:t>Subject to these Terms and Conditions and the 2018 Plan, the RSUs in respect of your Award shall vest and no longer be subject to any restriction (such period during which such restriction applies is the “Restriction Period”) as specified in your Award Notice.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Termination of Employment</w:t>
      </w:r>
    </w:p>
    <w:p>
      <w:pPr>
        <w:spacing w:after="0" w:line="152" w:lineRule="exact"/>
        <w:rPr>
          <w:sz w:val="20"/>
          <w:szCs w:val="20"/>
          <w:color w:val="auto"/>
        </w:rPr>
      </w:pPr>
    </w:p>
    <w:p>
      <w:pPr>
        <w:ind w:right="380" w:firstLine="648"/>
        <w:spacing w:after="0" w:line="275" w:lineRule="auto"/>
        <w:rPr>
          <w:sz w:val="20"/>
          <w:szCs w:val="20"/>
          <w:color w:val="auto"/>
        </w:rPr>
      </w:pPr>
      <w:r>
        <w:rPr>
          <w:rFonts w:ascii="Times New Roman" w:cs="Times New Roman" w:eastAsia="Times New Roman" w:hAnsi="Times New Roman"/>
          <w:sz w:val="20"/>
          <w:szCs w:val="20"/>
          <w:color w:val="auto"/>
        </w:rPr>
        <w:t>Except as set forth below, upon any termination of your employment with IAC or any of its Subsidiaries during the Restriction Period for any reason, any unvested portion of your Award shall be forfeited and canceled in its entirety effective immediately upon such termination of employment.</w:t>
      </w:r>
    </w:p>
    <w:p>
      <w:pPr>
        <w:spacing w:after="0" w:line="100" w:lineRule="exact"/>
        <w:rPr>
          <w:sz w:val="20"/>
          <w:szCs w:val="20"/>
          <w:color w:val="auto"/>
        </w:rPr>
      </w:pPr>
    </w:p>
    <w:p>
      <w:pPr>
        <w:ind w:right="80" w:firstLine="648"/>
        <w:spacing w:after="0" w:line="277" w:lineRule="auto"/>
        <w:rPr>
          <w:sz w:val="20"/>
          <w:szCs w:val="20"/>
          <w:color w:val="auto"/>
        </w:rPr>
      </w:pPr>
      <w:r>
        <w:rPr>
          <w:rFonts w:ascii="Times New Roman" w:cs="Times New Roman" w:eastAsia="Times New Roman" w:hAnsi="Times New Roman"/>
          <w:sz w:val="19"/>
          <w:szCs w:val="19"/>
          <w:color w:val="auto"/>
        </w:rPr>
        <w:t>If: (i) your employment is terminated for Cause or if you resign in anticipation of being terminated for Cause or (ii) following any termination of your employment for any reason, IAC becomes aware that during the two (2) years prior to such termination of employment there was an event or circumstance that constituted fraud (financial or otherwise) or would have been grounds for termination for Cause that caused or is reasonably likely to cause meaningful damage (economic, reputational or otherwise) to IAC and/or any of its Subsidiaries (the “Underlying Event”) (and which would not have been curable upon notice), then: (a) your Award, if then unvested, shall be forfeited and canceled in its entirety and (b) if a portion of your Award will have vested after the Underlying Event, then IAC shall be entitled to recover from you at any time within two (2) years after such vesting, and you shall pay over to IAC, any amounts realized as a result of such vesting. This remedy shall be without prejudice to, or waiver of, any other remedies IAC and/or its Subsidiaries may have in such event.</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Settlement</w:t>
      </w:r>
    </w:p>
    <w:p>
      <w:pPr>
        <w:spacing w:after="0" w:line="166" w:lineRule="exact"/>
        <w:rPr>
          <w:sz w:val="20"/>
          <w:szCs w:val="20"/>
          <w:color w:val="auto"/>
        </w:rPr>
      </w:pPr>
    </w:p>
    <w:p>
      <w:pPr>
        <w:ind w:right="180" w:firstLine="648"/>
        <w:spacing w:after="0" w:line="268" w:lineRule="auto"/>
        <w:rPr>
          <w:sz w:val="20"/>
          <w:szCs w:val="20"/>
          <w:color w:val="auto"/>
        </w:rPr>
      </w:pPr>
      <w:r>
        <w:rPr>
          <w:rFonts w:ascii="Times New Roman" w:cs="Times New Roman" w:eastAsia="Times New Roman" w:hAnsi="Times New Roman"/>
          <w:sz w:val="20"/>
          <w:szCs w:val="20"/>
          <w:color w:val="auto"/>
        </w:rPr>
        <w:t>Subject to your satisfaction of the tax obligations described immediately below under “Taxes and Withholding,” as soon as practicable after any RSUs in respect of your Award have vested and are no longer subject to the Restriction Period, such RSUs shall be settled. For each RSU settled, IAC shall issue one share of Common Stock for each RSU vesting. Notwithstanding the foregoing, IAC shall be entitled to hold the shares issuable to you upon settlement of all RSUs that have vested until IAC or the agent</w:t>
      </w:r>
    </w:p>
    <w:p>
      <w:pPr>
        <w:sectPr>
          <w:pgSz w:w="11900" w:h="16838" w:orient="portrait"/>
          <w:cols w:equalWidth="0" w:num="1">
            <w:col w:w="11240"/>
          </w:cols>
          <w:pgMar w:left="320" w:top="114" w:right="339" w:bottom="1440" w:gutter="0" w:footer="0" w:header="0"/>
        </w:sectPr>
      </w:pPr>
    </w:p>
    <w:bookmarkStart w:id="174" w:name="page175"/>
    <w:bookmarkEnd w:id="174"/>
    <w:p>
      <w:pPr>
        <w:jc w:val="right"/>
        <w:spacing w:after="0"/>
        <w:rPr>
          <w:sz w:val="20"/>
          <w:szCs w:val="20"/>
          <w:color w:val="auto"/>
        </w:rPr>
      </w:pPr>
      <w:r>
        <w:rPr>
          <w:rFonts w:ascii="Times New Roman" w:cs="Times New Roman" w:eastAsia="Times New Roman" w:hAnsi="Times New Roman"/>
          <w:sz w:val="20"/>
          <w:szCs w:val="20"/>
          <w:b w:val="1"/>
          <w:bCs w:val="1"/>
          <w:color w:val="auto"/>
        </w:rPr>
        <w:t>Exhibit 10.8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60"/>
        <w:spacing w:after="0" w:line="283" w:lineRule="auto"/>
        <w:rPr>
          <w:sz w:val="20"/>
          <w:szCs w:val="20"/>
          <w:color w:val="auto"/>
        </w:rPr>
      </w:pPr>
      <w:r>
        <w:rPr>
          <w:rFonts w:ascii="Times New Roman" w:cs="Times New Roman" w:eastAsia="Times New Roman" w:hAnsi="Times New Roman"/>
          <w:sz w:val="20"/>
          <w:szCs w:val="20"/>
          <w:color w:val="auto"/>
        </w:rPr>
        <w:t>selected by IAC to administer the 2018 Plan (the “Agent”) has received from you: (i) a duly executed Form W-8 or W-9, as applicable, or (ii) payment for all applicable taxes of any kind required by law to be withheld with respect to such RSUs.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Taxes and Withholding</w:t>
      </w:r>
    </w:p>
    <w:p>
      <w:pPr>
        <w:spacing w:after="0" w:line="166"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20"/>
          <w:szCs w:val="20"/>
          <w:color w:val="auto"/>
        </w:rPr>
        <w:t>No later than the date as of which an amount in respect of any RSUs first becomes includible in your gross income for federal, state, local or foreign income or employment or other tax purposes, IAC shall, unless prohibited by law, have the right to deduct any federal, state, local or foreign income or employment or other taxes of any kind required by law to be withheld from such gross amount due to you, including by way of deducting shares of Common Stock or cash that would otherwise be issued upon settlement of the RSUs that gives rise to the withholding requirement. In the event that shares of Common Stock are deducted to cover tax withholdings, the number of shares withheld shall generally have a Fair Market Value equal to the aggregate amount of IAC’s withholding obligation. If the event that any such deduction and/or withholding is prohibited by law, or IAC determines not to deduct cash or shares of Common Stock for taxes due upon the settlement of the RSUs, you shall, prior to or contemporaneously with the vesting or your RSUs, pay to IAC (or make arrangements satisfactory to IAC regarding the payment of) any federal, state, local or foreign taxes of any kind required by law to be withheld in connection with the vesting and settlement of the RSUs.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Adjustment in the Event of Change in Stock; Change in Control</w:t>
      </w:r>
    </w:p>
    <w:p>
      <w:pPr>
        <w:spacing w:after="0" w:line="162"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9"/>
          <w:szCs w:val="19"/>
          <w:i w:val="1"/>
          <w:iCs w:val="1"/>
          <w:color w:val="auto"/>
        </w:rPr>
        <w:t xml:space="preserve">Adjustment in the Event of Change in Stock. </w:t>
      </w:r>
      <w:r>
        <w:rPr>
          <w:rFonts w:ascii="Times New Roman" w:cs="Times New Roman" w:eastAsia="Times New Roman" w:hAnsi="Times New Roman"/>
          <w:sz w:val="19"/>
          <w:szCs w:val="19"/>
          <w:color w:val="auto"/>
        </w:rPr>
        <w:t>In the event of a Share Change, the Committee or the Board shall, in their respective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sole discretion, make such substitutions or adjustments as it deems appropriate and equitable to the number of RSUs underlying your Award and the number and kind of shares of Common Stock underlying such RSUs. In the event of a Corporate Transaction, the Committee or the Board may, in its sole discretion, make such substitutions or adjustments as it deems appropriate and equitable to the number of RSUs underlying your Award and the number and kind of shares of Common Stock underlying such RSUs. The determination of the Committee or the Board, as applicable, regarding any such adjustments will be final and conclusive and need not be the same for all RSU award recipients.</w:t>
      </w:r>
    </w:p>
    <w:p>
      <w:pPr>
        <w:spacing w:after="0" w:line="9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20"/>
          <w:szCs w:val="20"/>
          <w:i w:val="1"/>
          <w:iCs w:val="1"/>
          <w:color w:val="auto"/>
        </w:rPr>
        <w:t xml:space="preserve">Change in Control. </w:t>
      </w:r>
      <w:r>
        <w:rPr>
          <w:rFonts w:ascii="Times New Roman" w:cs="Times New Roman" w:eastAsia="Times New Roman" w:hAnsi="Times New Roman"/>
          <w:sz w:val="20"/>
          <w:szCs w:val="20"/>
          <w:color w:val="auto"/>
        </w:rPr>
        <w:t>The vesting of your Award will not be accelerated upon a Change in Control of IAC. However, in the event that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you cease to be employed within the two (2) year period following a Change in Control of IAC as a result of: (i) a termination without Cause or (ii) your resignation for Good Reason, then 100% of your Award shall vest in one lump sum installment as of the date of such event. The Disaffiliation of the IAC business or Subsidiary by which you are employed or for which you are performing substantially all of your services at the time of such Disaffiliation and that results in a termination of your employment with IAC and all of its Subsidiaries shall be considered a Termination of Employment without Cause (</w:t>
      </w:r>
      <w:r>
        <w:rPr>
          <w:rFonts w:ascii="Times New Roman" w:cs="Times New Roman" w:eastAsia="Times New Roman" w:hAnsi="Times New Roman"/>
          <w:sz w:val="20"/>
          <w:szCs w:val="20"/>
          <w:i w:val="1"/>
          <w:iCs w:val="1"/>
          <w:color w:val="auto"/>
        </w:rPr>
        <w:t>not</w:t>
      </w:r>
      <w:r>
        <w:rPr>
          <w:rFonts w:ascii="Times New Roman" w:cs="Times New Roman" w:eastAsia="Times New Roman" w:hAnsi="Times New Roman"/>
          <w:sz w:val="20"/>
          <w:szCs w:val="20"/>
          <w:color w:val="auto"/>
        </w:rPr>
        <w:t xml:space="preserve"> a Change in Control of IAC) and shall be governed by the applicable provisions of the 2018 Plan and the provision set forth under the caption “Termination of Employment” above;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the Committee or the Board, as applicable, may, in their respective sole discretion, deem it appropriate to make an equitable adjustment to the number of RSUs and the number and kind of shares of Common Stock underlying the RSUs underlying your Award at such time.</w:t>
      </w:r>
    </w:p>
    <w:p>
      <w:pPr>
        <w:sectPr>
          <w:pgSz w:w="11900" w:h="16838" w:orient="portrait"/>
          <w:cols w:equalWidth="0" w:num="1">
            <w:col w:w="11240"/>
          </w:cols>
          <w:pgMar w:left="320" w:top="114" w:right="339" w:bottom="1440" w:gutter="0" w:footer="0" w:header="0"/>
        </w:sectPr>
      </w:pPr>
    </w:p>
    <w:bookmarkStart w:id="175" w:name="page176"/>
    <w:bookmarkEnd w:id="175"/>
    <w:p>
      <w:pPr>
        <w:jc w:val="right"/>
        <w:spacing w:after="0"/>
        <w:rPr>
          <w:sz w:val="20"/>
          <w:szCs w:val="20"/>
          <w:color w:val="auto"/>
        </w:rPr>
      </w:pPr>
      <w:r>
        <w:rPr>
          <w:rFonts w:ascii="Times New Roman" w:cs="Times New Roman" w:eastAsia="Times New Roman" w:hAnsi="Times New Roman"/>
          <w:sz w:val="20"/>
          <w:szCs w:val="20"/>
          <w:b w:val="1"/>
          <w:bCs w:val="1"/>
          <w:color w:val="auto"/>
        </w:rPr>
        <w:t>Exhibit 10.8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Non-Transferability of the RSUs</w:t>
      </w:r>
    </w:p>
    <w:p>
      <w:pPr>
        <w:spacing w:after="0" w:line="166" w:lineRule="exact"/>
        <w:rPr>
          <w:sz w:val="20"/>
          <w:szCs w:val="20"/>
          <w:color w:val="auto"/>
        </w:rPr>
      </w:pPr>
    </w:p>
    <w:p>
      <w:pPr>
        <w:ind w:right="740" w:firstLine="198"/>
        <w:spacing w:after="0" w:line="283" w:lineRule="auto"/>
        <w:rPr>
          <w:sz w:val="20"/>
          <w:szCs w:val="20"/>
          <w:color w:val="auto"/>
        </w:rPr>
      </w:pPr>
      <w:r>
        <w:rPr>
          <w:rFonts w:ascii="Times New Roman" w:cs="Times New Roman" w:eastAsia="Times New Roman" w:hAnsi="Times New Roman"/>
          <w:sz w:val="20"/>
          <w:szCs w:val="20"/>
          <w:color w:val="auto"/>
        </w:rPr>
        <w:t>Until such time as your RSUs are ultimately settled, they shall not be transferable by you by means of sale, assignment, exchange, encumbrance, pledge, hedge or otherwise.</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 Rights as a Stockholder</w:t>
      </w:r>
    </w:p>
    <w:p>
      <w:pPr>
        <w:spacing w:after="0" w:line="166" w:lineRule="exact"/>
        <w:rPr>
          <w:sz w:val="20"/>
          <w:szCs w:val="20"/>
          <w:color w:val="auto"/>
        </w:rPr>
      </w:pPr>
    </w:p>
    <w:p>
      <w:pPr>
        <w:jc w:val="both"/>
        <w:ind w:right="180" w:firstLine="648"/>
        <w:spacing w:after="0" w:line="275" w:lineRule="auto"/>
        <w:rPr>
          <w:sz w:val="20"/>
          <w:szCs w:val="20"/>
          <w:color w:val="auto"/>
        </w:rPr>
      </w:pPr>
      <w:r>
        <w:rPr>
          <w:rFonts w:ascii="Times New Roman" w:cs="Times New Roman" w:eastAsia="Times New Roman" w:hAnsi="Times New Roman"/>
          <w:sz w:val="20"/>
          <w:szCs w:val="20"/>
          <w:color w:val="auto"/>
        </w:rPr>
        <w:t>Except as otherwise specifically provided in the 2018 Plan, unless and until your RSUs are settled, you shall not be entitled to any rights of a holder of shares of Common Stock with respect to the RSUs (including the right to vote the shares of Common Stock underlying your RSUs and the right to receive dividends).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Restrictions</w:t>
      </w:r>
    </w:p>
    <w:p>
      <w:pPr>
        <w:spacing w:after="0" w:line="166" w:lineRule="exact"/>
        <w:rPr>
          <w:sz w:val="20"/>
          <w:szCs w:val="20"/>
          <w:color w:val="auto"/>
        </w:rPr>
      </w:pPr>
    </w:p>
    <w:p>
      <w:pPr>
        <w:jc w:val="both"/>
        <w:ind w:right="60" w:firstLine="648"/>
        <w:spacing w:after="0" w:line="265" w:lineRule="auto"/>
        <w:rPr>
          <w:sz w:val="20"/>
          <w:szCs w:val="20"/>
          <w:color w:val="auto"/>
        </w:rPr>
      </w:pPr>
      <w:r>
        <w:rPr>
          <w:rFonts w:ascii="Times New Roman" w:cs="Times New Roman" w:eastAsia="Times New Roman" w:hAnsi="Times New Roman"/>
          <w:sz w:val="20"/>
          <w:szCs w:val="20"/>
          <w:color w:val="auto"/>
        </w:rPr>
        <w:t>The RSUs shall be subject to the requirement that, if at any time the Committee or the Board, as applicable, shall determine that: (i) the listing, registration or qualification of the shares of Common Stock underlying the RSUs upon any securities exchange or under any state or federal law, or (ii) the consent or approval of any government regulatory body, is necessary or desirable as a condition of (or in connection with) the delivery of such shares of Common Stock upon the vesting and settlement of the RSUs, then in any such event, the award of RSUs shall not be effective unless and until such listing, registration, qualification, consent or approval shall have been effected or obtained free of any conditions not acceptable to the Committee or Board, as applicable.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Conflicts and Interpretation</w:t>
      </w:r>
    </w:p>
    <w:p>
      <w:pPr>
        <w:spacing w:after="0" w:line="162" w:lineRule="exact"/>
        <w:rPr>
          <w:sz w:val="20"/>
          <w:szCs w:val="20"/>
          <w:color w:val="auto"/>
        </w:rPr>
      </w:pPr>
    </w:p>
    <w:p>
      <w:pPr>
        <w:ind w:right="40" w:firstLine="648"/>
        <w:spacing w:after="0" w:line="260" w:lineRule="auto"/>
        <w:rPr>
          <w:sz w:val="20"/>
          <w:szCs w:val="20"/>
          <w:color w:val="auto"/>
        </w:rPr>
      </w:pPr>
      <w:r>
        <w:rPr>
          <w:rFonts w:ascii="Times New Roman" w:cs="Times New Roman" w:eastAsia="Times New Roman" w:hAnsi="Times New Roman"/>
          <w:sz w:val="20"/>
          <w:szCs w:val="20"/>
          <w:color w:val="auto"/>
        </w:rPr>
        <w:t xml:space="preserve">In the event of any conflict between these Terms and Conditions and the 2018 Plan, the 2018 Plan shall control;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an action or provision that is permissive under the terms of the 2018 Plan (but required under these Terms and Conditions) shall not be deemed a conflict and these Terms and Conditions shall control. In the event of any ambiguity in these Terms and Conditions, or any matter(s) as to which these Terms and Conditions are silent, the 2018 Plan shall govern, including, without limitation, the provisions thereof pursuant to which the Committee or the Board, as applicable, has the power, among other things, to: (i) interpret the 2018 Plan, (ii) prescribe, amend and rescind rules and regulations relating to the 2018 Plan and (iii) make all other determinations deemed necessary or advisable for the administration of the 2018 Plan. In the event of any: (i) conflict between your Award Notice (or any other information given to directly or indirectly through the Agent (including information posted on the Agent’s online stock plan administration platform)) and IAC’s books and records, or (ii) ambiguity in the Award Notice (or any other information given to you directly or indirectly through the Agent (including information posted on the Agent’s online stock plan administration platform)), IAC’s books and records shall control.</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Amendment</w:t>
      </w:r>
    </w:p>
    <w:p>
      <w:pPr>
        <w:spacing w:after="0" w:line="166" w:lineRule="exact"/>
        <w:rPr>
          <w:sz w:val="20"/>
          <w:szCs w:val="20"/>
          <w:color w:val="auto"/>
        </w:rPr>
      </w:pPr>
    </w:p>
    <w:p>
      <w:pPr>
        <w:ind w:right="80" w:firstLine="648"/>
        <w:spacing w:after="0" w:line="275" w:lineRule="auto"/>
        <w:rPr>
          <w:sz w:val="20"/>
          <w:szCs w:val="20"/>
          <w:color w:val="auto"/>
        </w:rPr>
      </w:pPr>
      <w:r>
        <w:rPr>
          <w:rFonts w:ascii="Times New Roman" w:cs="Times New Roman" w:eastAsia="Times New Roman" w:hAnsi="Times New Roman"/>
          <w:sz w:val="20"/>
          <w:szCs w:val="20"/>
          <w:color w:val="auto"/>
        </w:rPr>
        <w:t>IAC may modify, amend or waive the terms of your RSUs, prospectively or retroactively, but no such modification, amendment or waiver shall materially impair your rights without your consent, except as required by applicable law, NASDAQ or stock exchange rules, tax rules or accounting rules.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Data Protection</w:t>
      </w:r>
    </w:p>
    <w:p>
      <w:pPr>
        <w:spacing w:after="0" w:line="166" w:lineRule="exact"/>
        <w:rPr>
          <w:sz w:val="20"/>
          <w:szCs w:val="20"/>
          <w:color w:val="auto"/>
        </w:rPr>
      </w:pPr>
    </w:p>
    <w:p>
      <w:pPr>
        <w:ind w:right="260" w:firstLine="648"/>
        <w:spacing w:after="0" w:line="275" w:lineRule="auto"/>
        <w:rPr>
          <w:sz w:val="20"/>
          <w:szCs w:val="20"/>
          <w:color w:val="auto"/>
        </w:rPr>
      </w:pPr>
      <w:r>
        <w:rPr>
          <w:rFonts w:ascii="Times New Roman" w:cs="Times New Roman" w:eastAsia="Times New Roman" w:hAnsi="Times New Roman"/>
          <w:sz w:val="20"/>
          <w:szCs w:val="20"/>
          <w:color w:val="auto"/>
        </w:rPr>
        <w:t>The acceptance of your RSUs constitutes your acknowledgement that your employing company may release, from time to time, to IAC or any of its Subsidiaries or Affiliates and to the Agent (together, the “Relevant Companies”) personal or professional data that is necessary or desirable for the administration of your RSUs and/or the 2018 Plan (the “Relevant Information”). Without limiting the</w:t>
      </w:r>
    </w:p>
    <w:p>
      <w:pPr>
        <w:sectPr>
          <w:pgSz w:w="11900" w:h="16838" w:orient="portrait"/>
          <w:cols w:equalWidth="0" w:num="1">
            <w:col w:w="11240"/>
          </w:cols>
          <w:pgMar w:left="320" w:top="114" w:right="339" w:bottom="1440" w:gutter="0" w:footer="0" w:header="0"/>
        </w:sectPr>
      </w:pPr>
    </w:p>
    <w:bookmarkStart w:id="176" w:name="page177"/>
    <w:bookmarkEnd w:id="176"/>
    <w:p>
      <w:pPr>
        <w:jc w:val="right"/>
        <w:spacing w:after="0"/>
        <w:rPr>
          <w:sz w:val="20"/>
          <w:szCs w:val="20"/>
          <w:color w:val="auto"/>
        </w:rPr>
      </w:pPr>
      <w:r>
        <w:rPr>
          <w:rFonts w:ascii="Times New Roman" w:cs="Times New Roman" w:eastAsia="Times New Roman" w:hAnsi="Times New Roman"/>
          <w:sz w:val="20"/>
          <w:szCs w:val="20"/>
          <w:b w:val="1"/>
          <w:bCs w:val="1"/>
          <w:color w:val="auto"/>
        </w:rPr>
        <w:t>Exhibit 10.8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20"/>
          <w:szCs w:val="20"/>
          <w:color w:val="auto"/>
        </w:rPr>
        <w:t>above, you acknowledge that your employing company may collect, process, register and transfer to the Relevant Companies all Relevant Information (including any professional and personal data that may be useful or necessary for the purposes of the administration of your RSUs and/or the 2018 Plan and/or to implement or structure any further grants of equity awards (if any). The acceptance of your RSUs also constitutes your acknowledgement of the transfer of the Relevant Information to any jurisdiction in which IAC, the IAC business or Subsidiary by which you are employed or the Agent considers appropriate. You shall have access to, and the right to correct, the Relevant Information, which will only be used as permitted by applicable law.</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409A of the Code</w:t>
      </w:r>
    </w:p>
    <w:p>
      <w:pPr>
        <w:spacing w:after="0" w:line="16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20"/>
          <w:szCs w:val="20"/>
          <w:color w:val="auto"/>
        </w:rPr>
        <w:t>Your Award is not intended to constitute “nonqualified deferred compensation” within the meaning of Section 409A of the Internal Revenue Code of 1986, as amended, and the rules and regulations issued thereunder (“Section 409A”). Notwithstanding the foregoing, to the extent your Award is subject to Section 409A, to the maximum extent permitted, your Award shall be interpreted and administered to be in compliance therewith. Accordingly, to the extent required to avoid accelerated taxation and/or tax penalties under Section 409A, if: (i) any amounts or benefits payable in respect of your Award are payable upon a termination of employment and (ii) if you are a “Specified Employee” (as defined under Section 409A) as of the date of your termination of employment, then such amounts or benefits (if any) shall be paid or provided to you in a single lump sum on the earlier of: (x) the first day of the seventh month following your termination of employment or (y) your death.</w:t>
      </w:r>
    </w:p>
    <w:p>
      <w:pPr>
        <w:spacing w:after="0" w:line="119" w:lineRule="exact"/>
        <w:rPr>
          <w:sz w:val="20"/>
          <w:szCs w:val="20"/>
          <w:color w:val="auto"/>
        </w:rPr>
      </w:pPr>
    </w:p>
    <w:p>
      <w:pPr>
        <w:ind w:right="220" w:firstLine="648"/>
        <w:spacing w:after="0" w:line="283" w:lineRule="auto"/>
        <w:rPr>
          <w:sz w:val="20"/>
          <w:szCs w:val="20"/>
          <w:color w:val="auto"/>
        </w:rPr>
      </w:pPr>
      <w:r>
        <w:rPr>
          <w:rFonts w:ascii="Times New Roman" w:cs="Times New Roman" w:eastAsia="Times New Roman" w:hAnsi="Times New Roman"/>
          <w:sz w:val="20"/>
          <w:szCs w:val="20"/>
          <w:color w:val="auto"/>
        </w:rPr>
        <w:t>In no event shall IAC be required to pay you any “gross-up” or other payment with respect to any taxes or penalties imposed under Section 409A with respect to any amounts or benefits paid to you in respect of your Award.</w:t>
      </w:r>
    </w:p>
    <w:p>
      <w:pPr>
        <w:sectPr>
          <w:pgSz w:w="11900" w:h="16838" w:orient="portrait"/>
          <w:cols w:equalWidth="0" w:num="1">
            <w:col w:w="11240"/>
          </w:cols>
          <w:pgMar w:left="320" w:top="114" w:right="339" w:bottom="1440" w:gutter="0" w:footer="0" w:header="0"/>
        </w:sectPr>
      </w:pPr>
    </w:p>
    <w:bookmarkStart w:id="177" w:name="page178"/>
    <w:bookmarkEnd w:id="177"/>
    <w:p>
      <w:pPr>
        <w:jc w:val="center"/>
        <w:ind w:right="-38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219075</wp:posOffset>
            </wp:positionH>
            <wp:positionV relativeFrom="page">
              <wp:posOffset>485775</wp:posOffset>
            </wp:positionV>
            <wp:extent cx="7110730" cy="82505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5">
                      <a:extLst>
                        <a:ext uri="{28A0092B-C50C-407E-A947-70E740481C1C}"/>
                      </a:extLst>
                    </a:blip>
                    <a:srcRect/>
                    <a:stretch>
                      <a:fillRect/>
                    </a:stretch>
                  </pic:blipFill>
                  <pic:spPr bwMode="auto">
                    <a:xfrm>
                      <a:off x="0" y="0"/>
                      <a:ext cx="7110730" cy="8250555"/>
                    </a:xfrm>
                    <a:prstGeom prst="rect">
                      <a:avLst/>
                    </a:prstGeom>
                    <a:noFill/>
                  </pic:spPr>
                </pic:pic>
              </a:graphicData>
            </a:graphic>
          </wp:anchor>
        </w:drawing>
        <w:t>Exhibit 10.23</w:t>
      </w:r>
    </w:p>
    <w:p>
      <w:pPr>
        <w:spacing w:after="0" w:line="32" w:lineRule="exact"/>
        <w:rPr>
          <w:sz w:val="20"/>
          <w:szCs w:val="20"/>
          <w:color w:val="auto"/>
        </w:rPr>
      </w:pPr>
    </w:p>
    <w:p>
      <w:pPr>
        <w:jc w:val="center"/>
        <w:ind w:left="1780" w:right="880"/>
        <w:spacing w:after="0" w:line="271" w:lineRule="auto"/>
        <w:rPr>
          <w:sz w:val="20"/>
          <w:szCs w:val="20"/>
          <w:color w:val="auto"/>
        </w:rPr>
      </w:pPr>
      <w:r>
        <w:rPr>
          <w:rFonts w:ascii="Times New Roman" w:cs="Times New Roman" w:eastAsia="Times New Roman" w:hAnsi="Times New Roman"/>
          <w:sz w:val="19"/>
          <w:szCs w:val="19"/>
          <w:b w:val="1"/>
          <w:bCs w:val="1"/>
          <w:color w:val="auto"/>
        </w:rPr>
        <w:t>CERTAIN IDENTIFIED INFORMATION HAS BEEN EXCLUDED FROM THIS EXHIBIT BECAUSE IT IS BOTH NOT MATERIAL AND IS THE TYPE THAT THE REGISTRANT TREATS AS PRIVATE OR CONFIDENTIAL.</w:t>
      </w:r>
    </w:p>
    <w:p>
      <w:pPr>
        <w:spacing w:after="0" w:line="2" w:lineRule="exact"/>
        <w:rPr>
          <w:sz w:val="20"/>
          <w:szCs w:val="20"/>
          <w:color w:val="auto"/>
        </w:rPr>
      </w:pPr>
    </w:p>
    <w:p>
      <w:pPr>
        <w:ind w:left="960" w:right="1399" w:firstLine="816"/>
        <w:spacing w:after="0" w:line="560" w:lineRule="auto"/>
        <w:tabs>
          <w:tab w:leader="none" w:pos="2255" w:val="left"/>
        </w:tabs>
        <w:numPr>
          <w:ilvl w:val="0"/>
          <w:numId w:val="7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INDICATES THAT INFORMATION HAS BEEN REDACTED. AMENDMENT NUMBER FIVE TO GOOGLE SERVICES AGREEMENT</w:t>
      </w:r>
    </w:p>
    <w:p>
      <w:pPr>
        <w:spacing w:after="0" w:line="41" w:lineRule="exact"/>
        <w:rPr>
          <w:sz w:val="20"/>
          <w:szCs w:val="20"/>
          <w:color w:val="auto"/>
        </w:rPr>
      </w:pPr>
    </w:p>
    <w:p>
      <w:pPr>
        <w:jc w:val="both"/>
        <w:ind w:right="99"/>
        <w:spacing w:after="0" w:line="243" w:lineRule="auto"/>
        <w:rPr>
          <w:sz w:val="20"/>
          <w:szCs w:val="20"/>
          <w:color w:val="auto"/>
        </w:rPr>
      </w:pPr>
      <w:r>
        <w:rPr>
          <w:rFonts w:ascii="Times New Roman" w:cs="Times New Roman" w:eastAsia="Times New Roman" w:hAnsi="Times New Roman"/>
          <w:sz w:val="20"/>
          <w:szCs w:val="20"/>
          <w:color w:val="auto"/>
        </w:rPr>
        <w:t>This Amendment to the Google Services Agreement (“</w:t>
      </w:r>
      <w:r>
        <w:rPr>
          <w:rFonts w:ascii="Times New Roman" w:cs="Times New Roman" w:eastAsia="Times New Roman" w:hAnsi="Times New Roman"/>
          <w:sz w:val="20"/>
          <w:szCs w:val="20"/>
          <w:b w:val="1"/>
          <w:bCs w:val="1"/>
          <w:color w:val="auto"/>
        </w:rPr>
        <w:t>Amendment</w:t>
      </w:r>
      <w:r>
        <w:rPr>
          <w:rFonts w:ascii="Times New Roman" w:cs="Times New Roman" w:eastAsia="Times New Roman" w:hAnsi="Times New Roman"/>
          <w:sz w:val="20"/>
          <w:szCs w:val="20"/>
          <w:color w:val="auto"/>
        </w:rPr>
        <w:t>”), effective as of the date signed by Google (“</w:t>
      </w:r>
      <w:r>
        <w:rPr>
          <w:rFonts w:ascii="Times New Roman" w:cs="Times New Roman" w:eastAsia="Times New Roman" w:hAnsi="Times New Roman"/>
          <w:sz w:val="20"/>
          <w:szCs w:val="20"/>
          <w:b w:val="1"/>
          <w:bCs w:val="1"/>
          <w:color w:val="auto"/>
        </w:rPr>
        <w:t>Amendment Effective Date</w:t>
      </w:r>
      <w:r>
        <w:rPr>
          <w:rFonts w:ascii="Times New Roman" w:cs="Times New Roman" w:eastAsia="Times New Roman" w:hAnsi="Times New Roman"/>
          <w:sz w:val="20"/>
          <w:szCs w:val="20"/>
          <w:color w:val="auto"/>
        </w:rPr>
        <w:t>”), is between IAC Inc. (formerly IAC/InterActiveCorp) and IAC Search &amp; Media Europe Limited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and Google LLC and Google Ireland Limited (“</w:t>
      </w:r>
      <w:r>
        <w:rPr>
          <w:rFonts w:ascii="Times New Roman" w:cs="Times New Roman" w:eastAsia="Times New Roman" w:hAnsi="Times New Roman"/>
          <w:sz w:val="20"/>
          <w:szCs w:val="20"/>
          <w:b w:val="1"/>
          <w:bCs w:val="1"/>
          <w:color w:val="auto"/>
        </w:rPr>
        <w:t>Google</w:t>
      </w:r>
      <w:r>
        <w:rPr>
          <w:rFonts w:ascii="Times New Roman" w:cs="Times New Roman" w:eastAsia="Times New Roman" w:hAnsi="Times New Roman"/>
          <w:sz w:val="20"/>
          <w:szCs w:val="20"/>
          <w:color w:val="auto"/>
        </w:rPr>
        <w:t>”) and amends the existing Google Services Agreement between Company and Google with an effective date of April 1, 2016 (as amended) (the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Capitalized terms not defined in this Amendment have the meanings given to those terms in the Agreement. The parties agree as follows:</w:t>
      </w:r>
    </w:p>
    <w:p>
      <w:pPr>
        <w:spacing w:after="0" w:line="209" w:lineRule="exact"/>
        <w:rPr>
          <w:sz w:val="20"/>
          <w:szCs w:val="20"/>
          <w:color w:val="auto"/>
        </w:rPr>
      </w:pPr>
    </w:p>
    <w:p>
      <w:pPr>
        <w:ind w:left="340" w:hanging="331"/>
        <w:spacing w:after="0"/>
        <w:tabs>
          <w:tab w:leader="none" w:pos="340" w:val="left"/>
        </w:tabs>
        <w:numPr>
          <w:ilvl w:val="0"/>
          <w:numId w:val="7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Amendments</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b w:val="1"/>
          <w:bCs w:val="1"/>
          <w:color w:val="auto"/>
        </w:rPr>
      </w:pPr>
    </w:p>
    <w:p>
      <w:pPr>
        <w:ind w:left="720" w:right="799" w:hanging="390"/>
        <w:spacing w:after="0" w:line="300"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9"/>
          <w:szCs w:val="19"/>
          <w:b w:val="1"/>
          <w:bCs w:val="1"/>
          <w:color w:val="auto"/>
        </w:rPr>
        <w:t xml:space="preserve">1.1. </w:t>
      </w:r>
      <w:r>
        <w:rPr>
          <w:rFonts w:ascii="Times New Roman" w:cs="Times New Roman" w:eastAsia="Times New Roman" w:hAnsi="Times New Roman"/>
          <w:sz w:val="19"/>
          <w:szCs w:val="19"/>
          <w:color w:val="auto"/>
        </w:rPr>
        <w:t>IAC Search &amp; Media Europe Limited is removed from the definition of “</w:t>
      </w:r>
      <w:r>
        <w:rPr>
          <w:rFonts w:ascii="Times New Roman" w:cs="Times New Roman" w:eastAsia="Times New Roman" w:hAnsi="Times New Roman"/>
          <w:sz w:val="19"/>
          <w:szCs w:val="19"/>
          <w:b w:val="1"/>
          <w:bCs w:val="1"/>
          <w:color w:val="auto"/>
        </w:rPr>
        <w:t xml:space="preserve">Company” </w:t>
      </w:r>
      <w:r>
        <w:rPr>
          <w:rFonts w:ascii="Times New Roman" w:cs="Times New Roman" w:eastAsia="Times New Roman" w:hAnsi="Times New Roman"/>
          <w:sz w:val="19"/>
          <w:szCs w:val="19"/>
          <w:color w:val="auto"/>
        </w:rPr>
        <w:t>in the first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paragraph on page 3 of the Agreement and that entity is no longer a party to the Agreement.</w:t>
      </w:r>
    </w:p>
    <w:p>
      <w:pPr>
        <w:spacing w:after="0" w:line="128" w:lineRule="exact"/>
        <w:rPr>
          <w:rFonts w:ascii="Times New Roman" w:cs="Times New Roman" w:eastAsia="Times New Roman" w:hAnsi="Times New Roman"/>
          <w:sz w:val="20"/>
          <w:szCs w:val="20"/>
          <w:b w:val="1"/>
          <w:bCs w:val="1"/>
          <w:color w:val="auto"/>
        </w:rPr>
      </w:pPr>
    </w:p>
    <w:p>
      <w:pPr>
        <w:ind w:left="720" w:right="279" w:hanging="389"/>
        <w:spacing w:after="0" w:line="273"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1.2. </w:t>
      </w:r>
      <w:r>
        <w:rPr>
          <w:rFonts w:ascii="Times New Roman" w:cs="Times New Roman" w:eastAsia="Times New Roman" w:hAnsi="Times New Roman"/>
          <w:sz w:val="20"/>
          <w:szCs w:val="20"/>
          <w:color w:val="auto"/>
        </w:rPr>
        <w:t>Google Ireland Limited is removed from the definition of “</w:t>
      </w:r>
      <w:r>
        <w:rPr>
          <w:rFonts w:ascii="Times New Roman" w:cs="Times New Roman" w:eastAsia="Times New Roman" w:hAnsi="Times New Roman"/>
          <w:sz w:val="20"/>
          <w:szCs w:val="20"/>
          <w:b w:val="1"/>
          <w:bCs w:val="1"/>
          <w:color w:val="auto"/>
        </w:rPr>
        <w:t>Google</w:t>
      </w:r>
      <w:r>
        <w:rPr>
          <w:rFonts w:ascii="Times New Roman" w:cs="Times New Roman" w:eastAsia="Times New Roman" w:hAnsi="Times New Roman"/>
          <w:sz w:val="20"/>
          <w:szCs w:val="20"/>
          <w:color w:val="auto"/>
        </w:rPr>
        <w:t>” in the first paragraph on page 3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Agreement and that entity is no longer a party to the Agreement.</w:t>
      </w:r>
    </w:p>
    <w:p>
      <w:pPr>
        <w:spacing w:after="0" w:line="138" w:lineRule="exact"/>
        <w:rPr>
          <w:rFonts w:ascii="Times New Roman" w:cs="Times New Roman" w:eastAsia="Times New Roman" w:hAnsi="Times New Roman"/>
          <w:sz w:val="20"/>
          <w:szCs w:val="20"/>
          <w:b w:val="1"/>
          <w:bCs w:val="1"/>
          <w:color w:val="auto"/>
        </w:rPr>
      </w:pPr>
    </w:p>
    <w:p>
      <w:pPr>
        <w:ind w:left="34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1.3. </w:t>
      </w:r>
      <w:r>
        <w:rPr>
          <w:rFonts w:ascii="Times New Roman" w:cs="Times New Roman" w:eastAsia="Times New Roman" w:hAnsi="Times New Roman"/>
          <w:sz w:val="20"/>
          <w:szCs w:val="20"/>
          <w:color w:val="auto"/>
        </w:rPr>
        <w:t>The following sentence is removed from the first paragraph on page 3:</w:t>
      </w:r>
    </w:p>
    <w:p>
      <w:pPr>
        <w:spacing w:after="0" w:line="233" w:lineRule="exact"/>
        <w:rPr>
          <w:sz w:val="20"/>
          <w:szCs w:val="20"/>
          <w:color w:val="auto"/>
        </w:rPr>
      </w:pPr>
    </w:p>
    <w:p>
      <w:pPr>
        <w:jc w:val="both"/>
        <w:ind w:left="720" w:right="99"/>
        <w:spacing w:after="0" w:line="242" w:lineRule="auto"/>
        <w:rPr>
          <w:sz w:val="20"/>
          <w:szCs w:val="20"/>
          <w:color w:val="auto"/>
        </w:rPr>
      </w:pPr>
      <w:r>
        <w:rPr>
          <w:rFonts w:ascii="Times New Roman" w:cs="Times New Roman" w:eastAsia="Times New Roman" w:hAnsi="Times New Roman"/>
          <w:sz w:val="20"/>
          <w:szCs w:val="20"/>
          <w:color w:val="auto"/>
        </w:rPr>
        <w:t>"In the event that Services are provided to a Company entity that is organized in: (i) the Americas, then Google Inc. is the entity that provides and IAC/InterActiveCorp (or its designated Affiliate) is the entity that receives such Services; and (ii) Europe, the Middle East, Africa, Asia or Oceania, then Google Ireland Limited is the entity that provides and IAC Search &amp; Media Europe Limited (or its designated Affiliate) is the entity that receives such Services; and “Google” and “Company” as used in this Agreement will be construed accordingly.”</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b w:val="1"/>
          <w:bCs w:val="1"/>
          <w:color w:val="auto"/>
        </w:rPr>
        <w:t xml:space="preserve">1.4. </w:t>
      </w:r>
      <w:r>
        <w:rPr>
          <w:rFonts w:ascii="Times New Roman" w:cs="Times New Roman" w:eastAsia="Times New Roman" w:hAnsi="Times New Roman"/>
          <w:sz w:val="20"/>
          <w:szCs w:val="20"/>
          <w:color w:val="auto"/>
        </w:rPr>
        <w:t>The definition of “</w:t>
      </w:r>
      <w:r>
        <w:rPr>
          <w:rFonts w:ascii="Times New Roman" w:cs="Times New Roman" w:eastAsia="Times New Roman" w:hAnsi="Times New Roman"/>
          <w:sz w:val="20"/>
          <w:szCs w:val="20"/>
          <w:b w:val="1"/>
          <w:bCs w:val="1"/>
          <w:color w:val="auto"/>
        </w:rPr>
        <w:t>TERM</w:t>
      </w:r>
      <w:r>
        <w:rPr>
          <w:rFonts w:ascii="Times New Roman" w:cs="Times New Roman" w:eastAsia="Times New Roman" w:hAnsi="Times New Roman"/>
          <w:sz w:val="20"/>
          <w:szCs w:val="20"/>
          <w:color w:val="auto"/>
        </w:rPr>
        <w:t>” on the cover page of the Agreement is replaced with the following:</w:t>
      </w:r>
    </w:p>
    <w:p>
      <w:pPr>
        <w:spacing w:after="0" w:line="229" w:lineRule="exact"/>
        <w:rPr>
          <w:sz w:val="20"/>
          <w:szCs w:val="20"/>
          <w:color w:val="auto"/>
        </w:rPr>
      </w:pPr>
    </w:p>
    <w:p>
      <w:pPr>
        <w:jc w:val="both"/>
        <w:ind w:left="720" w:right="99"/>
        <w:spacing w:after="0" w:line="241" w:lineRule="auto"/>
        <w:rPr>
          <w:sz w:val="20"/>
          <w:szCs w:val="20"/>
          <w:color w:val="auto"/>
        </w:rPr>
      </w:pPr>
      <w:r>
        <w:rPr>
          <w:rFonts w:ascii="Times New Roman" w:cs="Times New Roman" w:eastAsia="Times New Roman" w:hAnsi="Times New Roman"/>
          <w:sz w:val="20"/>
          <w:szCs w:val="20"/>
          <w:b w:val="1"/>
          <w:bCs w:val="1"/>
          <w:color w:val="auto"/>
        </w:rPr>
        <w:t xml:space="preserve">TERM: </w:t>
      </w:r>
      <w:r>
        <w:rPr>
          <w:rFonts w:ascii="Times New Roman" w:cs="Times New Roman" w:eastAsia="Times New Roman" w:hAnsi="Times New Roman"/>
          <w:sz w:val="20"/>
          <w:szCs w:val="20"/>
          <w:color w:val="auto"/>
        </w:rPr>
        <w:t>Starting on April 1, 2016 (“</w:t>
      </w:r>
      <w:r>
        <w:rPr>
          <w:rFonts w:ascii="Times New Roman" w:cs="Times New Roman" w:eastAsia="Times New Roman" w:hAnsi="Times New Roman"/>
          <w:sz w:val="20"/>
          <w:szCs w:val="20"/>
          <w:b w:val="1"/>
          <w:bCs w:val="1"/>
          <w:color w:val="auto"/>
        </w:rPr>
        <w:t>Effective Date</w:t>
      </w:r>
      <w:r>
        <w:rPr>
          <w:rFonts w:ascii="Times New Roman" w:cs="Times New Roman" w:eastAsia="Times New Roman" w:hAnsi="Times New Roman"/>
          <w:sz w:val="20"/>
          <w:szCs w:val="20"/>
          <w:color w:val="auto"/>
        </w:rPr>
        <w:t>”) and continuing through March 31, 2026</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(inclusive). The Term will automatically renew for an additional one-year period, until March 31, 2027, unless either party gives notice of non-renewal (email to suffice) to the other party on or before December 31, 2025.”</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b w:val="1"/>
          <w:bCs w:val="1"/>
          <w:color w:val="auto"/>
        </w:rPr>
        <w:t xml:space="preserve">1.5. </w:t>
      </w:r>
      <w:r>
        <w:rPr>
          <w:rFonts w:ascii="Times New Roman" w:cs="Times New Roman" w:eastAsia="Times New Roman" w:hAnsi="Times New Roman"/>
          <w:sz w:val="17"/>
          <w:szCs w:val="17"/>
          <w:b w:val="1"/>
          <w:bCs w:val="1"/>
          <w:color w:val="auto"/>
        </w:rPr>
        <w:t>[***].</w:t>
      </w:r>
    </w:p>
    <w:p>
      <w:pPr>
        <w:spacing w:after="0" w:line="200" w:lineRule="exact"/>
        <w:rPr>
          <w:sz w:val="20"/>
          <w:szCs w:val="20"/>
          <w:color w:val="auto"/>
        </w:rPr>
      </w:pPr>
    </w:p>
    <w:p>
      <w:pPr>
        <w:spacing w:after="0" w:line="2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b w:val="1"/>
          <w:bCs w:val="1"/>
          <w:color w:val="auto"/>
        </w:rPr>
        <w:t xml:space="preserve">1.6. </w:t>
      </w:r>
      <w:r>
        <w:rPr>
          <w:rFonts w:ascii="Times New Roman" w:cs="Times New Roman" w:eastAsia="Times New Roman" w:hAnsi="Times New Roman"/>
          <w:sz w:val="20"/>
          <w:szCs w:val="20"/>
          <w:color w:val="auto"/>
        </w:rPr>
        <w:t>The following are added as new definitions in</w:t>
      </w:r>
      <w:r>
        <w:rPr>
          <w:rFonts w:ascii="Times New Roman" w:cs="Times New Roman" w:eastAsia="Times New Roman" w:hAnsi="Times New Roman"/>
          <w:sz w:val="20"/>
          <w:szCs w:val="20"/>
          <w:b w:val="1"/>
          <w:bCs w:val="1"/>
          <w:color w:val="auto"/>
        </w:rPr>
        <w:t xml:space="preserve"> Section 1 (Definitions) </w:t>
      </w:r>
      <w:r>
        <w:rPr>
          <w:rFonts w:ascii="Times New Roman" w:cs="Times New Roman" w:eastAsia="Times New Roman" w:hAnsi="Times New Roman"/>
          <w:sz w:val="20"/>
          <w:szCs w:val="20"/>
          <w:color w:val="auto"/>
        </w:rPr>
        <w:t>of the Agreement:</w:t>
      </w:r>
    </w:p>
    <w:p>
      <w:pPr>
        <w:spacing w:after="0" w:line="229" w:lineRule="exact"/>
        <w:rPr>
          <w:sz w:val="20"/>
          <w:szCs w:val="20"/>
          <w:color w:val="auto"/>
        </w:rPr>
      </w:pPr>
    </w:p>
    <w:p>
      <w:pPr>
        <w:ind w:left="740" w:right="539"/>
        <w:spacing w:after="0" w:line="25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Product-Integrated Features</w:t>
      </w:r>
      <w:r>
        <w:rPr>
          <w:rFonts w:ascii="Times New Roman" w:cs="Times New Roman" w:eastAsia="Times New Roman" w:hAnsi="Times New Roman"/>
          <w:sz w:val="20"/>
          <w:szCs w:val="20"/>
          <w:color w:val="auto"/>
        </w:rPr>
        <w:t>” mean the features that are listed and described in the AdSense for Search Product-Integrated Feature Policies and which are approved by Google in writing.</w:t>
      </w:r>
    </w:p>
    <w:p>
      <w:pPr>
        <w:spacing w:after="0" w:line="12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AdSense for Search Product-Integrated Feature Policies</w:t>
      </w:r>
      <w:r>
        <w:rPr>
          <w:rFonts w:ascii="Times New Roman" w:cs="Times New Roman" w:eastAsia="Times New Roman" w:hAnsi="Times New Roman"/>
          <w:sz w:val="20"/>
          <w:szCs w:val="20"/>
          <w:color w:val="auto"/>
        </w:rPr>
        <w:t>” means the policy and implementation</w:t>
      </w:r>
    </w:p>
    <w:p>
      <w:pPr>
        <w:spacing w:after="0" w:line="26" w:lineRule="exact"/>
        <w:rPr>
          <w:sz w:val="20"/>
          <w:szCs w:val="20"/>
          <w:color w:val="auto"/>
        </w:rPr>
      </w:pPr>
    </w:p>
    <w:p>
      <w:pPr>
        <w:ind w:left="740" w:right="539"/>
        <w:spacing w:after="0" w:line="237" w:lineRule="auto"/>
        <w:rPr>
          <w:sz w:val="20"/>
          <w:szCs w:val="20"/>
          <w:color w:val="auto"/>
        </w:rPr>
      </w:pPr>
      <w:r>
        <w:rPr>
          <w:rFonts w:ascii="Times New Roman" w:cs="Times New Roman" w:eastAsia="Times New Roman" w:hAnsi="Times New Roman"/>
          <w:sz w:val="20"/>
          <w:szCs w:val="20"/>
          <w:color w:val="auto"/>
        </w:rPr>
        <w:t xml:space="preserve">guidelines applicable to Product-Integrated Features provided by Google to Company from time to time, including those located at the following URL: </w:t>
      </w:r>
      <w:r>
        <w:rPr>
          <w:rFonts w:ascii="Times New Roman" w:cs="Times New Roman" w:eastAsia="Times New Roman" w:hAnsi="Times New Roman"/>
          <w:sz w:val="20"/>
          <w:szCs w:val="20"/>
          <w:color w:val="0B57D0"/>
        </w:rPr>
        <w:t xml:space="preserve">https://support.google.com/adsense/answer/14638581 </w:t>
      </w:r>
      <w:r>
        <w:rPr>
          <w:rFonts w:ascii="Times New Roman" w:cs="Times New Roman" w:eastAsia="Times New Roman" w:hAnsi="Times New Roman"/>
          <w:sz w:val="20"/>
          <w:szCs w:val="20"/>
          <w:color w:val="000000"/>
        </w:rPr>
        <w:t>(or a different URL Google may provide</w:t>
      </w:r>
      <w:r>
        <w:rPr>
          <w:rFonts w:ascii="Times New Roman" w:cs="Times New Roman" w:eastAsia="Times New Roman" w:hAnsi="Times New Roman"/>
          <w:sz w:val="20"/>
          <w:szCs w:val="20"/>
          <w:color w:val="0B57D0"/>
        </w:rPr>
        <w:t xml:space="preserve"> </w:t>
      </w:r>
      <w:r>
        <w:rPr>
          <w:rFonts w:ascii="Times New Roman" w:cs="Times New Roman" w:eastAsia="Times New Roman" w:hAnsi="Times New Roman"/>
          <w:sz w:val="20"/>
          <w:szCs w:val="20"/>
          <w:color w:val="000000"/>
        </w:rPr>
        <w:t>Company from time to time).</w:t>
      </w:r>
    </w:p>
    <w:p>
      <w:pPr>
        <w:spacing w:after="0" w:line="146" w:lineRule="exact"/>
        <w:rPr>
          <w:sz w:val="20"/>
          <w:szCs w:val="20"/>
          <w:color w:val="auto"/>
        </w:rPr>
      </w:pPr>
    </w:p>
    <w:p>
      <w:pPr>
        <w:ind w:left="720" w:right="819" w:hanging="388"/>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1.7. </w:t>
      </w:r>
      <w:r>
        <w:rPr>
          <w:rFonts w:ascii="Times New Roman" w:cs="Times New Roman" w:eastAsia="Times New Roman" w:hAnsi="Times New Roman"/>
          <w:sz w:val="20"/>
          <w:szCs w:val="20"/>
          <w:color w:val="auto"/>
        </w:rPr>
        <w:t>The definition of “</w:t>
      </w:r>
      <w:r>
        <w:rPr>
          <w:rFonts w:ascii="Times New Roman" w:cs="Times New Roman" w:eastAsia="Times New Roman" w:hAnsi="Times New Roman"/>
          <w:sz w:val="20"/>
          <w:szCs w:val="20"/>
          <w:b w:val="1"/>
          <w:bCs w:val="1"/>
          <w:color w:val="auto"/>
        </w:rPr>
        <w:t>Search Query</w:t>
      </w:r>
      <w:r>
        <w:rPr>
          <w:rFonts w:ascii="Times New Roman" w:cs="Times New Roman" w:eastAsia="Times New Roman" w:hAnsi="Times New Roman"/>
          <w:sz w:val="20"/>
          <w:szCs w:val="20"/>
          <w:color w:val="auto"/>
        </w:rPr>
        <w:t>” in</w:t>
      </w:r>
      <w:r>
        <w:rPr>
          <w:rFonts w:ascii="Times New Roman" w:cs="Times New Roman" w:eastAsia="Times New Roman" w:hAnsi="Times New Roman"/>
          <w:sz w:val="20"/>
          <w:szCs w:val="20"/>
          <w:b w:val="1"/>
          <w:bCs w:val="1"/>
          <w:color w:val="auto"/>
        </w:rPr>
        <w:t xml:space="preserve"> Section 1 (Definitions) </w:t>
      </w:r>
      <w:r>
        <w:rPr>
          <w:rFonts w:ascii="Times New Roman" w:cs="Times New Roman" w:eastAsia="Times New Roman" w:hAnsi="Times New Roman"/>
          <w:sz w:val="20"/>
          <w:szCs w:val="20"/>
          <w:color w:val="auto"/>
        </w:rPr>
        <w:t>of the Agreement is amended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replaced with the following:</w:t>
      </w:r>
    </w:p>
    <w:p>
      <w:pPr>
        <w:sectPr>
          <w:pgSz w:w="11900" w:h="16838" w:orient="portrait"/>
          <w:cols w:equalWidth="0" w:num="1">
            <w:col w:w="9099"/>
          </w:cols>
          <w:pgMar w:left="1360" w:top="1152" w:right="1440" w:bottom="1440" w:gutter="0" w:footer="0" w:header="0"/>
        </w:sectPr>
      </w:pPr>
    </w:p>
    <w:bookmarkStart w:id="178" w:name="page179"/>
    <w:bookmarkEnd w:id="178"/>
    <w:p>
      <w:pPr>
        <w:ind w:left="1019"/>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219075</wp:posOffset>
            </wp:positionH>
            <wp:positionV relativeFrom="page">
              <wp:posOffset>485775</wp:posOffset>
            </wp:positionV>
            <wp:extent cx="7110730" cy="849058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6">
                      <a:extLst>
                        <a:ext uri="{28A0092B-C50C-407E-A947-70E740481C1C}"/>
                      </a:extLst>
                    </a:blip>
                    <a:srcRect/>
                    <a:stretch>
                      <a:fillRect/>
                    </a:stretch>
                  </pic:blipFill>
                  <pic:spPr bwMode="auto">
                    <a:xfrm>
                      <a:off x="0" y="0"/>
                      <a:ext cx="7110730" cy="8490585"/>
                    </a:xfrm>
                    <a:prstGeom prst="rect">
                      <a:avLst/>
                    </a:prstGeom>
                    <a:noFill/>
                  </pic:spPr>
                </pic:pic>
              </a:graphicData>
            </a:graphic>
          </wp:anchor>
        </w:drawing>
        <w:t>“</w:t>
      </w:r>
      <w:r>
        <w:rPr>
          <w:rFonts w:ascii="Times New Roman" w:cs="Times New Roman" w:eastAsia="Times New Roman" w:hAnsi="Times New Roman"/>
          <w:sz w:val="20"/>
          <w:szCs w:val="20"/>
          <w:b w:val="1"/>
          <w:bCs w:val="1"/>
          <w:color w:val="auto"/>
        </w:rPr>
        <w:t>Search Query</w:t>
      </w:r>
      <w:r>
        <w:rPr>
          <w:rFonts w:ascii="Times New Roman" w:cs="Times New Roman" w:eastAsia="Times New Roman" w:hAnsi="Times New Roman"/>
          <w:sz w:val="20"/>
          <w:szCs w:val="20"/>
          <w:color w:val="auto"/>
        </w:rPr>
        <w:t xml:space="preserve">” means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0"/>
          <w:szCs w:val="20"/>
          <w:color w:val="auto"/>
        </w:rPr>
        <w:t xml:space="preserve"> a Product-Integrated Feature.</w:t>
      </w:r>
    </w:p>
    <w:p>
      <w:pPr>
        <w:spacing w:after="0" w:line="166" w:lineRule="exact"/>
        <w:rPr>
          <w:sz w:val="20"/>
          <w:szCs w:val="20"/>
          <w:color w:val="auto"/>
        </w:rPr>
      </w:pPr>
    </w:p>
    <w:p>
      <w:pPr>
        <w:ind w:left="439" w:hanging="439"/>
        <w:spacing w:after="0"/>
        <w:tabs>
          <w:tab w:leader="none" w:pos="439"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color w:val="auto"/>
        </w:rPr>
        <w:t>Product-Integrated Features</w:t>
      </w:r>
      <w:r>
        <w:rPr>
          <w:rFonts w:ascii="Times New Roman" w:cs="Times New Roman" w:eastAsia="Times New Roman" w:hAnsi="Times New Roman"/>
          <w:sz w:val="17"/>
          <w:szCs w:val="17"/>
          <w:b w:val="1"/>
          <w:bCs w:val="1"/>
          <w:color w:val="auto"/>
        </w:rPr>
        <w:t>[***]</w:t>
      </w:r>
    </w:p>
    <w:p>
      <w:pPr>
        <w:spacing w:after="0" w:line="200" w:lineRule="exact"/>
        <w:rPr>
          <w:sz w:val="20"/>
          <w:szCs w:val="20"/>
          <w:color w:val="auto"/>
        </w:rPr>
      </w:pPr>
    </w:p>
    <w:p>
      <w:pPr>
        <w:spacing w:after="0" w:line="214" w:lineRule="exact"/>
        <w:rPr>
          <w:sz w:val="20"/>
          <w:szCs w:val="20"/>
          <w:color w:val="auto"/>
        </w:rPr>
      </w:pPr>
    </w:p>
    <w:p>
      <w:pPr>
        <w:ind w:left="619"/>
        <w:spacing w:after="0"/>
        <w:rPr>
          <w:sz w:val="20"/>
          <w:szCs w:val="20"/>
          <w:color w:val="auto"/>
        </w:rPr>
      </w:pPr>
      <w:r>
        <w:rPr>
          <w:rFonts w:ascii="Times New Roman" w:cs="Times New Roman" w:eastAsia="Times New Roman" w:hAnsi="Times New Roman"/>
          <w:sz w:val="20"/>
          <w:szCs w:val="20"/>
          <w:b w:val="1"/>
          <w:bCs w:val="1"/>
          <w:color w:val="auto"/>
        </w:rPr>
        <w:t xml:space="preserve">1.8.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Company will ensure that the Services are implemented and maintained in accordance with:</w:t>
      </w:r>
    </w:p>
    <w:p>
      <w:pPr>
        <w:spacing w:after="0" w:line="230" w:lineRule="exact"/>
        <w:rPr>
          <w:sz w:val="20"/>
          <w:szCs w:val="20"/>
          <w:color w:val="auto"/>
        </w:rPr>
      </w:pPr>
    </w:p>
    <w:p>
      <w:pPr>
        <w:ind w:left="1959"/>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1959"/>
        <w:spacing w:after="0"/>
        <w:rPr>
          <w:sz w:val="20"/>
          <w:szCs w:val="20"/>
          <w:color w:val="auto"/>
        </w:rPr>
      </w:pPr>
      <w:r>
        <w:rPr>
          <w:rFonts w:ascii="Times New Roman" w:cs="Times New Roman" w:eastAsia="Times New Roman" w:hAnsi="Times New Roman"/>
          <w:sz w:val="20"/>
          <w:szCs w:val="20"/>
          <w:color w:val="auto"/>
        </w:rPr>
        <w:t>the AdSense for Search Product-Integrated Feature Policies (if applicable);</w:t>
      </w:r>
    </w:p>
    <w:p>
      <w:pPr>
        <w:spacing w:after="0" w:line="230" w:lineRule="exact"/>
        <w:rPr>
          <w:sz w:val="20"/>
          <w:szCs w:val="20"/>
          <w:color w:val="auto"/>
        </w:rPr>
      </w:pPr>
    </w:p>
    <w:p>
      <w:pPr>
        <w:ind w:left="1959"/>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180" w:lineRule="exact"/>
        <w:rPr>
          <w:sz w:val="20"/>
          <w:szCs w:val="20"/>
          <w:color w:val="auto"/>
        </w:rPr>
      </w:pPr>
    </w:p>
    <w:p>
      <w:pPr>
        <w:ind w:left="619"/>
        <w:spacing w:after="0"/>
        <w:rPr>
          <w:sz w:val="20"/>
          <w:szCs w:val="20"/>
          <w:color w:val="auto"/>
        </w:rPr>
      </w:pPr>
      <w:r>
        <w:rPr>
          <w:rFonts w:ascii="Times New Roman" w:cs="Times New Roman" w:eastAsia="Times New Roman" w:hAnsi="Times New Roman"/>
          <w:sz w:val="20"/>
          <w:szCs w:val="20"/>
          <w:b w:val="1"/>
          <w:bCs w:val="1"/>
          <w:color w:val="auto"/>
        </w:rPr>
        <w:t xml:space="preserve">1.9.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left="1019" w:right="259"/>
        <w:spacing w:after="0" w:line="247" w:lineRule="auto"/>
        <w:rPr>
          <w:sz w:val="20"/>
          <w:szCs w:val="20"/>
          <w:color w:val="auto"/>
        </w:rPr>
      </w:pPr>
      <w:r>
        <w:rPr>
          <w:rFonts w:ascii="Times New Roman" w:cs="Times New Roman" w:eastAsia="Times New Roman" w:hAnsi="Times New Roman"/>
          <w:sz w:val="20"/>
          <w:szCs w:val="20"/>
          <w:color w:val="auto"/>
        </w:rPr>
        <w:t>If there is any conflict between Section 2.2(g) or Section 2.2(h) of this Agreement and the EU user consent policy set out in the Google Program Guidelines, the EU user consent policy will apply in relation to End Users in the European Economic Area, Switzerland, and the United Kingdom.</w:t>
      </w:r>
    </w:p>
    <w:p>
      <w:pPr>
        <w:spacing w:after="0" w:line="177" w:lineRule="exact"/>
        <w:rPr>
          <w:sz w:val="20"/>
          <w:szCs w:val="20"/>
          <w:color w:val="auto"/>
        </w:rPr>
      </w:pPr>
    </w:p>
    <w:p>
      <w:pPr>
        <w:ind w:left="619"/>
        <w:spacing w:after="0"/>
        <w:tabs>
          <w:tab w:leader="none" w:pos="1519" w:val="left"/>
        </w:tabs>
        <w:rPr>
          <w:sz w:val="20"/>
          <w:szCs w:val="20"/>
          <w:color w:val="auto"/>
        </w:rPr>
      </w:pPr>
      <w:r>
        <w:rPr>
          <w:rFonts w:ascii="Times New Roman" w:cs="Times New Roman" w:eastAsia="Times New Roman" w:hAnsi="Times New Roman"/>
          <w:sz w:val="20"/>
          <w:szCs w:val="20"/>
          <w:b w:val="1"/>
          <w:bCs w:val="1"/>
          <w:color w:val="auto"/>
        </w:rPr>
        <w:t>1.10.</w:t>
      </w:r>
      <w:r>
        <w:rPr>
          <w:sz w:val="20"/>
          <w:szCs w:val="20"/>
          <w:color w:val="auto"/>
        </w:rPr>
        <w:tab/>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left="1459" w:hanging="442"/>
        <w:spacing w:after="0"/>
        <w:tabs>
          <w:tab w:leader="none" w:pos="1459"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b w:val="1"/>
          <w:bCs w:val="1"/>
          <w:color w:val="auto"/>
        </w:rPr>
        <w:t>Product-Integrated Features.</w:t>
      </w:r>
    </w:p>
    <w:p>
      <w:pPr>
        <w:spacing w:after="0" w:line="233" w:lineRule="exact"/>
        <w:rPr>
          <w:sz w:val="20"/>
          <w:szCs w:val="20"/>
          <w:color w:val="auto"/>
        </w:rPr>
      </w:pPr>
    </w:p>
    <w:p>
      <w:pPr>
        <w:ind w:left="1139" w:right="379" w:firstLine="7"/>
        <w:spacing w:after="0" w:line="243" w:lineRule="auto"/>
        <w:tabs>
          <w:tab w:leader="none" w:pos="1534"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Company may implement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0"/>
          <w:szCs w:val="20"/>
          <w:color w:val="auto"/>
        </w:rPr>
        <w:t xml:space="preserve"> Product-Integrated Features approved by Google in writing, </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9"/>
          <w:szCs w:val="19"/>
          <w:color w:val="auto"/>
        </w:rPr>
        <w:t>the AdSense for Search Product-Integrated Feature Policies,</w:t>
      </w:r>
      <w:r>
        <w:rPr>
          <w:rFonts w:ascii="Times New Roman" w:cs="Times New Roman" w:eastAsia="Times New Roman" w:hAnsi="Times New Roman"/>
          <w:sz w:val="17"/>
          <w:szCs w:val="17"/>
          <w:b w:val="1"/>
          <w:bCs w:val="1"/>
          <w:color w:val="auto"/>
        </w:rPr>
        <w:t xml:space="preserve"> [***] </w:t>
      </w:r>
      <w:r>
        <w:rPr>
          <w:rFonts w:ascii="Times New Roman" w:cs="Times New Roman" w:eastAsia="Times New Roman" w:hAnsi="Times New Roman"/>
          <w:sz w:val="19"/>
          <w:szCs w:val="19"/>
          <w:color w:val="auto"/>
        </w:rPr>
        <w:t>Product-Integrated Feature,</w:t>
      </w:r>
    </w:p>
    <w:p>
      <w:pPr>
        <w:spacing w:after="0" w:line="1" w:lineRule="exact"/>
        <w:rPr>
          <w:rFonts w:ascii="Times New Roman" w:cs="Times New Roman" w:eastAsia="Times New Roman" w:hAnsi="Times New Roman"/>
          <w:sz w:val="20"/>
          <w:szCs w:val="20"/>
          <w:color w:val="auto"/>
        </w:rPr>
      </w:pPr>
    </w:p>
    <w:p>
      <w:pPr>
        <w:ind w:left="1139"/>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9"/>
          <w:szCs w:val="19"/>
          <w:color w:val="auto"/>
        </w:rPr>
        <w:t>Product-Integrated Feature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9"/>
          <w:szCs w:val="19"/>
          <w:color w:val="auto"/>
        </w:rPr>
        <w:t>Product-Integrated Feature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9"/>
          <w:szCs w:val="19"/>
          <w:color w:val="auto"/>
        </w:rPr>
        <w:t>Product-Integrated Feature</w:t>
      </w:r>
    </w:p>
    <w:p>
      <w:pPr>
        <w:spacing w:after="0" w:line="11" w:lineRule="exact"/>
        <w:rPr>
          <w:rFonts w:ascii="Times New Roman" w:cs="Times New Roman" w:eastAsia="Times New Roman" w:hAnsi="Times New Roman"/>
          <w:sz w:val="20"/>
          <w:szCs w:val="20"/>
          <w:color w:val="auto"/>
        </w:rPr>
      </w:pPr>
    </w:p>
    <w:p>
      <w:pPr>
        <w:ind w:left="1139"/>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9"/>
          <w:szCs w:val="19"/>
          <w:color w:val="auto"/>
        </w:rPr>
        <w:t>Product-Integrated Feature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9"/>
          <w:szCs w:val="19"/>
          <w:color w:val="auto"/>
        </w:rPr>
        <w:t>.</w:t>
      </w:r>
    </w:p>
    <w:p>
      <w:pPr>
        <w:spacing w:after="0" w:line="151" w:lineRule="exact"/>
        <w:rPr>
          <w:sz w:val="20"/>
          <w:szCs w:val="20"/>
          <w:color w:val="auto"/>
        </w:rPr>
      </w:pPr>
    </w:p>
    <w:p>
      <w:pPr>
        <w:ind w:left="259" w:right="459" w:firstLine="648"/>
        <w:spacing w:after="0" w:line="261" w:lineRule="auto"/>
        <w:rPr>
          <w:sz w:val="20"/>
          <w:szCs w:val="20"/>
          <w:color w:val="auto"/>
        </w:rPr>
      </w:pPr>
      <w:r>
        <w:rPr>
          <w:rFonts w:ascii="Times New Roman" w:cs="Times New Roman" w:eastAsia="Times New Roman" w:hAnsi="Times New Roman"/>
          <w:sz w:val="20"/>
          <w:szCs w:val="20"/>
          <w:color w:val="auto"/>
        </w:rPr>
        <w:t xml:space="preserve">As of the Effective Date, Google acknowledges that the following constitute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0"/>
          <w:szCs w:val="20"/>
          <w:color w:val="auto"/>
        </w:rPr>
        <w:t xml:space="preserve"> Product-Integrated Feature types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0"/>
          <w:szCs w:val="20"/>
          <w:color w:val="auto"/>
        </w:rPr>
        <w:t xml:space="preserve"> Product-Integrated Features):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0"/>
          <w:szCs w:val="20"/>
          <w:color w:val="auto"/>
        </w:rPr>
        <w:t xml:space="preserve"> Product-Integrated Feature Policies made available to Company.</w:t>
      </w:r>
    </w:p>
    <w:p>
      <w:pPr>
        <w:spacing w:after="0" w:line="209" w:lineRule="exact"/>
        <w:rPr>
          <w:sz w:val="20"/>
          <w:szCs w:val="20"/>
          <w:color w:val="auto"/>
        </w:rPr>
      </w:pPr>
    </w:p>
    <w:p>
      <w:pPr>
        <w:ind w:left="1019"/>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7" w:lineRule="exact"/>
        <w:rPr>
          <w:sz w:val="20"/>
          <w:szCs w:val="20"/>
          <w:color w:val="auto"/>
        </w:rPr>
      </w:pPr>
    </w:p>
    <w:p>
      <w:pPr>
        <w:ind w:left="619"/>
        <w:spacing w:after="0"/>
        <w:tabs>
          <w:tab w:leader="none" w:pos="1519" w:val="left"/>
        </w:tabs>
        <w:rPr>
          <w:sz w:val="20"/>
          <w:szCs w:val="20"/>
          <w:color w:val="auto"/>
        </w:rPr>
      </w:pPr>
      <w:r>
        <w:rPr>
          <w:rFonts w:ascii="Times New Roman" w:cs="Times New Roman" w:eastAsia="Times New Roman" w:hAnsi="Times New Roman"/>
          <w:sz w:val="20"/>
          <w:szCs w:val="20"/>
          <w:b w:val="1"/>
          <w:bCs w:val="1"/>
          <w:color w:val="auto"/>
        </w:rPr>
        <w:t>1.11.</w:t>
      </w:r>
      <w:r>
        <w:rPr>
          <w:sz w:val="20"/>
          <w:szCs w:val="20"/>
          <w:color w:val="auto"/>
        </w:rPr>
        <w:tab/>
      </w:r>
      <w:r>
        <w:rPr>
          <w:rFonts w:ascii="Times New Roman" w:cs="Times New Roman" w:eastAsia="Times New Roman" w:hAnsi="Times New Roman"/>
          <w:sz w:val="17"/>
          <w:szCs w:val="17"/>
          <w:b w:val="1"/>
          <w:bCs w:val="1"/>
          <w:color w:val="auto"/>
        </w:rPr>
        <w:t>[***]</w:t>
      </w:r>
    </w:p>
    <w:p>
      <w:pPr>
        <w:spacing w:after="0" w:line="233" w:lineRule="exact"/>
        <w:rPr>
          <w:sz w:val="20"/>
          <w:szCs w:val="20"/>
          <w:color w:val="auto"/>
        </w:rPr>
      </w:pPr>
    </w:p>
    <w:p>
      <w:pPr>
        <w:ind w:left="1459" w:hanging="443"/>
        <w:spacing w:after="0"/>
        <w:tabs>
          <w:tab w:leader="none" w:pos="1459"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color w:val="auto"/>
        </w:rPr>
        <w:t xml:space="preserve">Product- Integrated Feature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0"/>
          <w:szCs w:val="20"/>
          <w:color w:val="auto"/>
        </w:rPr>
        <w:t>.</w:t>
      </w:r>
    </w:p>
    <w:p>
      <w:pPr>
        <w:spacing w:after="0" w:line="198" w:lineRule="exact"/>
        <w:rPr>
          <w:sz w:val="20"/>
          <w:szCs w:val="20"/>
          <w:color w:val="auto"/>
        </w:rPr>
      </w:pPr>
    </w:p>
    <w:p>
      <w:pPr>
        <w:ind w:left="619"/>
        <w:spacing w:after="0"/>
        <w:tabs>
          <w:tab w:leader="none" w:pos="1519" w:val="left"/>
        </w:tabs>
        <w:rPr>
          <w:sz w:val="20"/>
          <w:szCs w:val="20"/>
          <w:color w:val="auto"/>
        </w:rPr>
      </w:pPr>
      <w:r>
        <w:rPr>
          <w:rFonts w:ascii="Times New Roman" w:cs="Times New Roman" w:eastAsia="Times New Roman" w:hAnsi="Times New Roman"/>
          <w:sz w:val="20"/>
          <w:szCs w:val="20"/>
          <w:b w:val="1"/>
          <w:bCs w:val="1"/>
          <w:color w:val="auto"/>
        </w:rPr>
        <w:t>1.12.</w:t>
      </w:r>
      <w:r>
        <w:rPr>
          <w:sz w:val="20"/>
          <w:szCs w:val="20"/>
          <w:color w:val="auto"/>
        </w:rPr>
        <w:tab/>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ind w:left="1459" w:hanging="443"/>
        <w:spacing w:after="0"/>
        <w:tabs>
          <w:tab w:leader="none" w:pos="1459"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color w:val="auto"/>
        </w:rPr>
        <w:t>(Alternative Search Queries and Product-Integrated Features);</w:t>
      </w:r>
    </w:p>
    <w:p>
      <w:pPr>
        <w:spacing w:after="0" w:line="212" w:lineRule="exact"/>
        <w:rPr>
          <w:sz w:val="20"/>
          <w:szCs w:val="20"/>
          <w:color w:val="auto"/>
        </w:rPr>
      </w:pPr>
    </w:p>
    <w:p>
      <w:pPr>
        <w:ind w:left="619"/>
        <w:spacing w:after="0"/>
        <w:tabs>
          <w:tab w:leader="none" w:pos="1519" w:val="left"/>
        </w:tabs>
        <w:rPr>
          <w:sz w:val="20"/>
          <w:szCs w:val="20"/>
          <w:color w:val="auto"/>
        </w:rPr>
      </w:pPr>
      <w:r>
        <w:rPr>
          <w:rFonts w:ascii="Times New Roman" w:cs="Times New Roman" w:eastAsia="Times New Roman" w:hAnsi="Times New Roman"/>
          <w:sz w:val="20"/>
          <w:szCs w:val="20"/>
          <w:b w:val="1"/>
          <w:bCs w:val="1"/>
          <w:color w:val="auto"/>
        </w:rPr>
        <w:t>1.13.</w:t>
      </w:r>
      <w:r>
        <w:rPr>
          <w:sz w:val="20"/>
          <w:szCs w:val="20"/>
          <w:color w:val="auto"/>
        </w:rPr>
        <w:tab/>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ind w:left="1459" w:hanging="443"/>
        <w:spacing w:after="0"/>
        <w:tabs>
          <w:tab w:leader="none" w:pos="1459"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color w:val="auto"/>
        </w:rPr>
        <w:t xml:space="preserve">the AdSense for Search Product-Integrated Feature Policies, </w:t>
      </w:r>
      <w:r>
        <w:rPr>
          <w:rFonts w:ascii="Times New Roman" w:cs="Times New Roman" w:eastAsia="Times New Roman" w:hAnsi="Times New Roman"/>
          <w:sz w:val="17"/>
          <w:szCs w:val="17"/>
          <w:b w:val="1"/>
          <w:bCs w:val="1"/>
          <w:color w:val="auto"/>
        </w:rPr>
        <w:t>[***]</w:t>
      </w:r>
    </w:p>
    <w:p>
      <w:pPr>
        <w:spacing w:after="0" w:line="200" w:lineRule="exact"/>
        <w:rPr>
          <w:sz w:val="20"/>
          <w:szCs w:val="20"/>
          <w:color w:val="auto"/>
        </w:rPr>
      </w:pPr>
    </w:p>
    <w:p>
      <w:pPr>
        <w:spacing w:after="0" w:line="376" w:lineRule="exact"/>
        <w:rPr>
          <w:sz w:val="20"/>
          <w:szCs w:val="20"/>
          <w:color w:val="auto"/>
        </w:rPr>
      </w:pPr>
    </w:p>
    <w:p>
      <w:pPr>
        <w:ind w:left="619"/>
        <w:spacing w:after="0"/>
        <w:tabs>
          <w:tab w:leader="none" w:pos="1519" w:val="left"/>
        </w:tabs>
        <w:rPr>
          <w:sz w:val="20"/>
          <w:szCs w:val="20"/>
          <w:color w:val="auto"/>
        </w:rPr>
      </w:pPr>
      <w:r>
        <w:rPr>
          <w:rFonts w:ascii="Times New Roman" w:cs="Times New Roman" w:eastAsia="Times New Roman" w:hAnsi="Times New Roman"/>
          <w:sz w:val="20"/>
          <w:szCs w:val="20"/>
          <w:b w:val="1"/>
          <w:bCs w:val="1"/>
          <w:color w:val="auto"/>
        </w:rPr>
        <w:t>1.14.</w:t>
      </w:r>
      <w:r>
        <w:rPr>
          <w:sz w:val="20"/>
          <w:szCs w:val="20"/>
          <w:color w:val="auto"/>
        </w:rPr>
        <w:tab/>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ind w:left="1019" w:right="139" w:hanging="3"/>
        <w:spacing w:after="0" w:line="295" w:lineRule="auto"/>
        <w:tabs>
          <w:tab w:leader="none" w:pos="1454" w:val="left"/>
        </w:tabs>
        <w:numPr>
          <w:ilvl w:val="0"/>
          <w:numId w:val="8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9"/>
          <w:szCs w:val="19"/>
          <w:color w:val="auto"/>
        </w:rPr>
        <w:t xml:space="preserve">Notwithstanding anything to the contrary in this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9"/>
          <w:szCs w:val="19"/>
          <w:color w:val="auto"/>
        </w:rPr>
        <w:t xml:space="preserve">Product-Integrated Feature type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9"/>
          <w:szCs w:val="19"/>
          <w:color w:val="auto"/>
        </w:rPr>
        <w:t xml:space="preserve"> Product-Integrated Feature,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9"/>
          <w:szCs w:val="19"/>
          <w:color w:val="auto"/>
        </w:rPr>
        <w:t xml:space="preserve">Product-Integrated Feature type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9"/>
          <w:szCs w:val="19"/>
          <w:color w:val="auto"/>
        </w:rPr>
        <w:t xml:space="preserve"> Product Integrated Feature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9"/>
          <w:szCs w:val="19"/>
          <w:color w:val="auto"/>
        </w:rPr>
        <w:t>.</w:t>
      </w:r>
    </w:p>
    <w:p>
      <w:pPr>
        <w:spacing w:after="0" w:line="80" w:lineRule="exact"/>
        <w:rPr>
          <w:sz w:val="20"/>
          <w:szCs w:val="20"/>
          <w:color w:val="auto"/>
        </w:rPr>
      </w:pPr>
    </w:p>
    <w:p>
      <w:pPr>
        <w:ind w:left="619"/>
        <w:spacing w:after="0"/>
        <w:tabs>
          <w:tab w:leader="none" w:pos="1519" w:val="left"/>
        </w:tabs>
        <w:rPr>
          <w:sz w:val="20"/>
          <w:szCs w:val="20"/>
          <w:color w:val="auto"/>
        </w:rPr>
      </w:pPr>
      <w:r>
        <w:rPr>
          <w:rFonts w:ascii="Times New Roman" w:cs="Times New Roman" w:eastAsia="Times New Roman" w:hAnsi="Times New Roman"/>
          <w:sz w:val="20"/>
          <w:szCs w:val="20"/>
          <w:b w:val="1"/>
          <w:bCs w:val="1"/>
          <w:color w:val="auto"/>
        </w:rPr>
        <w:t>1.15.</w:t>
      </w:r>
      <w:r>
        <w:rPr>
          <w:sz w:val="20"/>
          <w:szCs w:val="20"/>
          <w:color w:val="auto"/>
        </w:rPr>
        <w:tab/>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ind w:left="1459" w:hanging="442"/>
        <w:spacing w:after="0"/>
        <w:tabs>
          <w:tab w:leader="none" w:pos="1459"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color w:val="auto"/>
        </w:rPr>
        <w:t>AdSense for Search Product- Integration Feature Policies (if applicable</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0"/>
          <w:szCs w:val="20"/>
          <w:color w:val="auto"/>
        </w:rPr>
        <w:t>.</w:t>
      </w:r>
    </w:p>
    <w:p>
      <w:pPr>
        <w:sectPr>
          <w:pgSz w:w="11900" w:h="16838" w:orient="portrait"/>
          <w:cols w:equalWidth="0" w:num="1">
            <w:col w:w="9378"/>
          </w:cols>
          <w:pgMar w:left="1081" w:top="1355" w:right="1440" w:bottom="1440" w:gutter="0" w:footer="0" w:header="0"/>
        </w:sectPr>
      </w:pPr>
    </w:p>
    <w:bookmarkStart w:id="179" w:name="page180"/>
    <w:bookmarkEnd w:id="179"/>
    <w:p>
      <w:pPr>
        <w:ind w:left="333"/>
        <w:spacing w:after="0"/>
        <w:tabs>
          <w:tab w:leader="none" w:pos="1232" w:val="left"/>
        </w:tabs>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219075</wp:posOffset>
            </wp:positionH>
            <wp:positionV relativeFrom="page">
              <wp:posOffset>485775</wp:posOffset>
            </wp:positionV>
            <wp:extent cx="7110730" cy="872236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7">
                      <a:extLst>
                        <a:ext uri="{28A0092B-C50C-407E-A947-70E740481C1C}"/>
                      </a:extLst>
                    </a:blip>
                    <a:srcRect/>
                    <a:stretch>
                      <a:fillRect/>
                    </a:stretch>
                  </pic:blipFill>
                  <pic:spPr bwMode="auto">
                    <a:xfrm>
                      <a:off x="0" y="0"/>
                      <a:ext cx="7110730" cy="8722360"/>
                    </a:xfrm>
                    <a:prstGeom prst="rect">
                      <a:avLst/>
                    </a:prstGeom>
                    <a:noFill/>
                  </pic:spPr>
                </pic:pic>
              </a:graphicData>
            </a:graphic>
          </wp:anchor>
        </w:drawing>
        <w:t>1.16.</w:t>
      </w:r>
      <w:r>
        <w:rPr>
          <w:sz w:val="20"/>
          <w:szCs w:val="20"/>
          <w:color w:val="auto"/>
        </w:rPr>
        <w:tab/>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9"/>
          <w:szCs w:val="19"/>
          <w:color w:val="auto"/>
        </w:rPr>
        <w:t>:</w:t>
      </w:r>
    </w:p>
    <w:p>
      <w:pPr>
        <w:spacing w:after="0" w:line="234" w:lineRule="exact"/>
        <w:rPr>
          <w:sz w:val="20"/>
          <w:szCs w:val="20"/>
          <w:color w:val="auto"/>
        </w:rPr>
      </w:pPr>
    </w:p>
    <w:p>
      <w:pPr>
        <w:ind w:left="613"/>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400" w:lineRule="exact"/>
        <w:rPr>
          <w:sz w:val="20"/>
          <w:szCs w:val="20"/>
          <w:color w:val="auto"/>
        </w:rPr>
      </w:pPr>
    </w:p>
    <w:p>
      <w:pPr>
        <w:ind w:left="733"/>
        <w:spacing w:after="0"/>
        <w:rPr>
          <w:sz w:val="20"/>
          <w:szCs w:val="20"/>
          <w:color w:val="auto"/>
        </w:rPr>
      </w:pPr>
      <w:r>
        <w:rPr>
          <w:rFonts w:ascii="Times New Roman" w:cs="Times New Roman" w:eastAsia="Times New Roman" w:hAnsi="Times New Roman"/>
          <w:sz w:val="20"/>
          <w:szCs w:val="20"/>
          <w:color w:val="auto"/>
        </w:rPr>
        <w:t>AdSense for Search Product-Integration Feature Policies (if applicable).</w:t>
      </w:r>
    </w:p>
    <w:p>
      <w:pPr>
        <w:spacing w:after="0" w:line="212" w:lineRule="exact"/>
        <w:rPr>
          <w:sz w:val="20"/>
          <w:szCs w:val="20"/>
          <w:color w:val="auto"/>
        </w:rPr>
      </w:pPr>
    </w:p>
    <w:p>
      <w:pPr>
        <w:ind w:left="333"/>
        <w:spacing w:after="0"/>
        <w:tabs>
          <w:tab w:leader="none" w:pos="1232" w:val="left"/>
        </w:tabs>
        <w:rPr>
          <w:sz w:val="20"/>
          <w:szCs w:val="20"/>
          <w:color w:val="auto"/>
        </w:rPr>
      </w:pPr>
      <w:r>
        <w:rPr>
          <w:rFonts w:ascii="Times New Roman" w:cs="Times New Roman" w:eastAsia="Times New Roman" w:hAnsi="Times New Roman"/>
          <w:sz w:val="20"/>
          <w:szCs w:val="20"/>
          <w:b w:val="1"/>
          <w:bCs w:val="1"/>
          <w:color w:val="auto"/>
        </w:rPr>
        <w:t>1.17.</w:t>
      </w:r>
      <w:r>
        <w:rPr>
          <w:sz w:val="20"/>
          <w:szCs w:val="20"/>
          <w:color w:val="auto"/>
        </w:rPr>
        <w:tab/>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ind w:left="713" w:right="99" w:firstLine="1"/>
        <w:spacing w:after="0" w:line="269" w:lineRule="auto"/>
        <w:tabs>
          <w:tab w:leader="none" w:pos="1201"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color w:val="auto"/>
        </w:rPr>
        <w:t xml:space="preserve">AdSense for Search Product-Integrated Feature Policies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0"/>
          <w:szCs w:val="20"/>
          <w:color w:val="auto"/>
        </w:rPr>
        <w:t xml:space="preserve"> AdSense for Search Product-Integrated Feature Policies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0"/>
          <w:szCs w:val="20"/>
          <w:color w:val="auto"/>
        </w:rPr>
        <w:t>.</w:t>
      </w:r>
    </w:p>
    <w:p>
      <w:pPr>
        <w:spacing w:after="0" w:line="142" w:lineRule="exact"/>
        <w:rPr>
          <w:sz w:val="20"/>
          <w:szCs w:val="20"/>
          <w:color w:val="auto"/>
        </w:rPr>
      </w:pPr>
    </w:p>
    <w:p>
      <w:pPr>
        <w:ind w:left="333"/>
        <w:spacing w:after="0"/>
        <w:tabs>
          <w:tab w:leader="none" w:pos="1232" w:val="left"/>
        </w:tabs>
        <w:rPr>
          <w:sz w:val="20"/>
          <w:szCs w:val="20"/>
          <w:color w:val="auto"/>
        </w:rPr>
      </w:pPr>
      <w:r>
        <w:rPr>
          <w:rFonts w:ascii="Times New Roman" w:cs="Times New Roman" w:eastAsia="Times New Roman" w:hAnsi="Times New Roman"/>
          <w:sz w:val="20"/>
          <w:szCs w:val="20"/>
          <w:b w:val="1"/>
          <w:bCs w:val="1"/>
          <w:color w:val="auto"/>
        </w:rPr>
        <w:t>1.18.</w:t>
      </w:r>
      <w:r>
        <w:rPr>
          <w:sz w:val="20"/>
          <w:szCs w:val="20"/>
          <w:color w:val="auto"/>
        </w:rPr>
        <w:tab/>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left="733" w:right="99" w:hanging="3"/>
        <w:spacing w:after="0" w:line="264" w:lineRule="auto"/>
        <w:tabs>
          <w:tab w:leader="none" w:pos="1208" w:val="left"/>
        </w:tabs>
        <w:numPr>
          <w:ilvl w:val="0"/>
          <w:numId w:val="8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9"/>
          <w:szCs w:val="19"/>
          <w:color w:val="auto"/>
        </w:rPr>
        <w:t xml:space="preserve">The recipient may also disclose Confidential Information when required by law after giving reasonable notice to the discloser, if permitted by law. This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9"/>
          <w:szCs w:val="19"/>
          <w:color w:val="auto"/>
        </w:rPr>
        <w:t xml:space="preserve"> does not affect the parties’ rights under</w:t>
      </w:r>
    </w:p>
    <w:p>
      <w:pPr>
        <w:ind w:left="1173" w:hanging="443"/>
        <w:spacing w:after="0"/>
        <w:tabs>
          <w:tab w:leader="none" w:pos="1173"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color w:val="auto"/>
        </w:rPr>
        <w:t>(Raising Issues with Public Authorities).</w:t>
      </w:r>
    </w:p>
    <w:p>
      <w:pPr>
        <w:spacing w:after="0" w:line="176" w:lineRule="exact"/>
        <w:rPr>
          <w:sz w:val="20"/>
          <w:szCs w:val="20"/>
          <w:color w:val="auto"/>
        </w:rPr>
      </w:pPr>
    </w:p>
    <w:p>
      <w:pPr>
        <w:ind w:left="333"/>
        <w:spacing w:after="0"/>
        <w:tabs>
          <w:tab w:leader="none" w:pos="1232" w:val="left"/>
        </w:tabs>
        <w:rPr>
          <w:sz w:val="20"/>
          <w:szCs w:val="20"/>
          <w:color w:val="auto"/>
        </w:rPr>
      </w:pPr>
      <w:r>
        <w:rPr>
          <w:rFonts w:ascii="Times New Roman" w:cs="Times New Roman" w:eastAsia="Times New Roman" w:hAnsi="Times New Roman"/>
          <w:sz w:val="20"/>
          <w:szCs w:val="20"/>
          <w:b w:val="1"/>
          <w:bCs w:val="1"/>
          <w:color w:val="auto"/>
        </w:rPr>
        <w:t>1.19.</w:t>
      </w:r>
      <w:r>
        <w:rPr>
          <w:sz w:val="20"/>
          <w:szCs w:val="20"/>
          <w:color w:val="auto"/>
        </w:rPr>
        <w:tab/>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713" w:right="119"/>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Raising Issues with Public Authorities. </w:t>
      </w:r>
      <w:r>
        <w:rPr>
          <w:rFonts w:ascii="Times New Roman" w:cs="Times New Roman" w:eastAsia="Times New Roman" w:hAnsi="Times New Roman"/>
          <w:sz w:val="20"/>
          <w:szCs w:val="20"/>
          <w:color w:val="auto"/>
        </w:rPr>
        <w:t>Nothing in this Agreement prevents any party from raising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issues of non-compliance with the law with any relevant public authority. To the extent this Section conflicts with any other part of this Agreement, this Section will govern.</w:t>
      </w:r>
    </w:p>
    <w:p>
      <w:pPr>
        <w:spacing w:after="0" w:line="344" w:lineRule="exact"/>
        <w:rPr>
          <w:sz w:val="20"/>
          <w:szCs w:val="20"/>
          <w:color w:val="auto"/>
        </w:rPr>
      </w:pPr>
    </w:p>
    <w:p>
      <w:pPr>
        <w:ind w:left="333"/>
        <w:spacing w:after="0"/>
        <w:tabs>
          <w:tab w:leader="none" w:pos="1232" w:val="left"/>
        </w:tabs>
        <w:rPr>
          <w:sz w:val="20"/>
          <w:szCs w:val="20"/>
          <w:color w:val="auto"/>
        </w:rPr>
      </w:pPr>
      <w:r>
        <w:rPr>
          <w:rFonts w:ascii="Times New Roman" w:cs="Times New Roman" w:eastAsia="Times New Roman" w:hAnsi="Times New Roman"/>
          <w:sz w:val="20"/>
          <w:szCs w:val="20"/>
          <w:b w:val="1"/>
          <w:bCs w:val="1"/>
          <w:color w:val="auto"/>
        </w:rPr>
        <w:t>1.20.</w:t>
      </w:r>
      <w:r>
        <w:rPr>
          <w:sz w:val="20"/>
          <w:szCs w:val="20"/>
          <w:color w:val="auto"/>
        </w:rPr>
        <w:tab/>
      </w:r>
      <w:r>
        <w:rPr>
          <w:rFonts w:ascii="Times New Roman" w:cs="Times New Roman" w:eastAsia="Times New Roman" w:hAnsi="Times New Roman"/>
          <w:sz w:val="19"/>
          <w:szCs w:val="19"/>
          <w:b w:val="1"/>
          <w:bCs w:val="1"/>
          <w:color w:val="auto"/>
        </w:rPr>
        <w:t xml:space="preserve">Exhibit A </w:t>
      </w:r>
      <w:r>
        <w:rPr>
          <w:rFonts w:ascii="Times New Roman" w:cs="Times New Roman" w:eastAsia="Times New Roman" w:hAnsi="Times New Roman"/>
          <w:sz w:val="19"/>
          <w:szCs w:val="19"/>
          <w:color w:val="auto"/>
        </w:rPr>
        <w:t>is replaced with the</w:t>
      </w:r>
      <w:r>
        <w:rPr>
          <w:rFonts w:ascii="Times New Roman" w:cs="Times New Roman" w:eastAsia="Times New Roman" w:hAnsi="Times New Roman"/>
          <w:sz w:val="19"/>
          <w:szCs w:val="19"/>
          <w:b w:val="1"/>
          <w:bCs w:val="1"/>
          <w:color w:val="auto"/>
        </w:rPr>
        <w:t xml:space="preserve"> Exhibit A </w:t>
      </w:r>
      <w:r>
        <w:rPr>
          <w:rFonts w:ascii="Times New Roman" w:cs="Times New Roman" w:eastAsia="Times New Roman" w:hAnsi="Times New Roman"/>
          <w:sz w:val="19"/>
          <w:szCs w:val="19"/>
          <w:color w:val="auto"/>
        </w:rPr>
        <w:t>attached to this Amendment.</w:t>
      </w:r>
    </w:p>
    <w:p>
      <w:pPr>
        <w:spacing w:after="0" w:line="229" w:lineRule="exact"/>
        <w:rPr>
          <w:sz w:val="20"/>
          <w:szCs w:val="20"/>
          <w:color w:val="auto"/>
        </w:rPr>
      </w:pPr>
    </w:p>
    <w:p>
      <w:pPr>
        <w:ind w:left="333"/>
        <w:spacing w:after="0"/>
        <w:tabs>
          <w:tab w:leader="none" w:pos="1232" w:val="left"/>
        </w:tabs>
        <w:rPr>
          <w:sz w:val="20"/>
          <w:szCs w:val="20"/>
          <w:color w:val="auto"/>
        </w:rPr>
      </w:pPr>
      <w:r>
        <w:rPr>
          <w:rFonts w:ascii="Times New Roman" w:cs="Times New Roman" w:eastAsia="Times New Roman" w:hAnsi="Times New Roman"/>
          <w:sz w:val="20"/>
          <w:szCs w:val="20"/>
          <w:b w:val="1"/>
          <w:bCs w:val="1"/>
          <w:color w:val="auto"/>
        </w:rPr>
        <w:t>1.21.</w:t>
      </w:r>
      <w:r>
        <w:rPr>
          <w:sz w:val="20"/>
          <w:szCs w:val="20"/>
          <w:color w:val="auto"/>
        </w:rPr>
        <w:tab/>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9"/>
          <w:szCs w:val="19"/>
          <w:b w:val="1"/>
          <w:bCs w:val="1"/>
          <w:color w:val="auto"/>
        </w:rPr>
        <w:t>Exhibit 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9"/>
          <w:szCs w:val="19"/>
          <w:color w:val="auto"/>
        </w:rPr>
        <w:t>is replaced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9"/>
          <w:szCs w:val="19"/>
          <w:b w:val="1"/>
          <w:bCs w:val="1"/>
          <w:color w:val="auto"/>
        </w:rPr>
        <w:t>Exhibit 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9"/>
          <w:szCs w:val="19"/>
          <w:color w:val="auto"/>
        </w:rPr>
        <w:t>attached to this Amendment.</w:t>
      </w:r>
    </w:p>
    <w:p>
      <w:pPr>
        <w:spacing w:after="0" w:line="229" w:lineRule="exact"/>
        <w:rPr>
          <w:sz w:val="20"/>
          <w:szCs w:val="20"/>
          <w:color w:val="auto"/>
        </w:rPr>
      </w:pPr>
    </w:p>
    <w:p>
      <w:pPr>
        <w:ind w:left="333"/>
        <w:spacing w:after="0"/>
        <w:tabs>
          <w:tab w:leader="none" w:pos="1232" w:val="left"/>
        </w:tabs>
        <w:rPr>
          <w:sz w:val="20"/>
          <w:szCs w:val="20"/>
          <w:color w:val="auto"/>
        </w:rPr>
      </w:pPr>
      <w:r>
        <w:rPr>
          <w:rFonts w:ascii="Times New Roman" w:cs="Times New Roman" w:eastAsia="Times New Roman" w:hAnsi="Times New Roman"/>
          <w:sz w:val="20"/>
          <w:szCs w:val="20"/>
          <w:b w:val="1"/>
          <w:bCs w:val="1"/>
          <w:color w:val="auto"/>
        </w:rPr>
        <w:t>1.22.</w:t>
      </w:r>
      <w:r>
        <w:rPr>
          <w:sz w:val="20"/>
          <w:szCs w:val="20"/>
          <w:color w:val="auto"/>
        </w:rPr>
        <w:tab/>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ind w:left="1173" w:hanging="443"/>
        <w:spacing w:after="0"/>
        <w:tabs>
          <w:tab w:leader="none" w:pos="1173"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color w:val="auto"/>
        </w:rPr>
        <w:t>AdSense for Search Product- Integration Feature Policies (if applicable);</w:t>
      </w:r>
    </w:p>
    <w:p>
      <w:pPr>
        <w:spacing w:after="0" w:line="212" w:lineRule="exact"/>
        <w:rPr>
          <w:sz w:val="20"/>
          <w:szCs w:val="20"/>
          <w:color w:val="auto"/>
        </w:rPr>
      </w:pPr>
    </w:p>
    <w:p>
      <w:pPr>
        <w:ind w:left="333"/>
        <w:spacing w:after="0"/>
        <w:tabs>
          <w:tab w:leader="none" w:pos="1232" w:val="left"/>
        </w:tabs>
        <w:rPr>
          <w:sz w:val="20"/>
          <w:szCs w:val="20"/>
          <w:color w:val="auto"/>
        </w:rPr>
      </w:pPr>
      <w:r>
        <w:rPr>
          <w:rFonts w:ascii="Times New Roman" w:cs="Times New Roman" w:eastAsia="Times New Roman" w:hAnsi="Times New Roman"/>
          <w:sz w:val="20"/>
          <w:szCs w:val="20"/>
          <w:b w:val="1"/>
          <w:bCs w:val="1"/>
          <w:color w:val="auto"/>
        </w:rPr>
        <w:t>1.23.</w:t>
      </w:r>
      <w:r>
        <w:rPr>
          <w:sz w:val="20"/>
          <w:szCs w:val="20"/>
          <w:color w:val="auto"/>
        </w:rPr>
        <w:tab/>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9"/>
          <w:szCs w:val="19"/>
          <w:b w:val="1"/>
          <w:bCs w:val="1"/>
          <w:color w:val="auto"/>
        </w:rPr>
        <w:t>Exhibit 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9"/>
          <w:szCs w:val="19"/>
          <w:color w:val="auto"/>
        </w:rPr>
        <w:t>of the Agreement is replaced with the following:</w:t>
      </w:r>
    </w:p>
    <w:p>
      <w:pPr>
        <w:spacing w:after="0" w:line="26" w:lineRule="exact"/>
        <w:rPr>
          <w:sz w:val="20"/>
          <w:szCs w:val="20"/>
          <w:color w:val="auto"/>
        </w:rPr>
      </w:pPr>
    </w:p>
    <w:p>
      <w:pPr>
        <w:ind w:left="1173" w:hanging="444"/>
        <w:spacing w:after="0"/>
        <w:tabs>
          <w:tab w:leader="none" w:pos="1173"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color w:val="auto"/>
        </w:rPr>
        <w:t xml:space="preserve">Product-Integrated Feature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0"/>
          <w:szCs w:val="20"/>
          <w:color w:val="auto"/>
        </w:rPr>
        <w:t>;</w:t>
      </w:r>
    </w:p>
    <w:p>
      <w:pPr>
        <w:spacing w:after="0" w:line="190" w:lineRule="exact"/>
        <w:rPr>
          <w:sz w:val="20"/>
          <w:szCs w:val="20"/>
          <w:color w:val="auto"/>
        </w:rPr>
      </w:pPr>
    </w:p>
    <w:p>
      <w:pPr>
        <w:ind w:left="333"/>
        <w:spacing w:after="0"/>
        <w:tabs>
          <w:tab w:leader="none" w:pos="1232" w:val="left"/>
        </w:tabs>
        <w:rPr>
          <w:sz w:val="20"/>
          <w:szCs w:val="20"/>
          <w:color w:val="auto"/>
        </w:rPr>
      </w:pPr>
      <w:r>
        <w:rPr>
          <w:rFonts w:ascii="Times New Roman" w:cs="Times New Roman" w:eastAsia="Times New Roman" w:hAnsi="Times New Roman"/>
          <w:sz w:val="20"/>
          <w:szCs w:val="20"/>
          <w:b w:val="1"/>
          <w:bCs w:val="1"/>
          <w:color w:val="auto"/>
        </w:rPr>
        <w:t>1.24.</w:t>
      </w:r>
      <w:r>
        <w:rPr>
          <w:sz w:val="20"/>
          <w:szCs w:val="20"/>
          <w:color w:val="auto"/>
        </w:rPr>
        <w:tab/>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9"/>
          <w:szCs w:val="19"/>
          <w:b w:val="1"/>
          <w:bCs w:val="1"/>
          <w:color w:val="auto"/>
        </w:rPr>
        <w:t>Exhibit 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9"/>
          <w:szCs w:val="19"/>
          <w:color w:val="auto"/>
        </w:rPr>
        <w:t>of the Agreement is replaced with the following:</w:t>
      </w:r>
    </w:p>
    <w:p>
      <w:pPr>
        <w:spacing w:after="0" w:line="220" w:lineRule="exact"/>
        <w:rPr>
          <w:sz w:val="20"/>
          <w:szCs w:val="20"/>
          <w:color w:val="auto"/>
        </w:rPr>
      </w:pPr>
    </w:p>
    <w:p>
      <w:pPr>
        <w:ind w:left="1173" w:hanging="444"/>
        <w:spacing w:after="0"/>
        <w:tabs>
          <w:tab w:leader="none" w:pos="1173"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color w:val="auto"/>
        </w:rPr>
        <w:t>AdSense for Search Product-Integration Feature Policies (if applicable);</w:t>
      </w:r>
    </w:p>
    <w:p>
      <w:pPr>
        <w:spacing w:after="0" w:line="225" w:lineRule="exact"/>
        <w:rPr>
          <w:sz w:val="20"/>
          <w:szCs w:val="20"/>
          <w:color w:val="auto"/>
        </w:rPr>
      </w:pPr>
    </w:p>
    <w:p>
      <w:pPr>
        <w:ind w:left="713" w:right="219" w:hanging="388"/>
        <w:spacing w:after="0" w:line="273" w:lineRule="auto"/>
        <w:tabs>
          <w:tab w:leader="none" w:pos="692" w:val="left"/>
        </w:tabs>
        <w:rPr>
          <w:sz w:val="20"/>
          <w:szCs w:val="20"/>
          <w:color w:val="auto"/>
        </w:rPr>
      </w:pPr>
      <w:r>
        <w:rPr>
          <w:rFonts w:ascii="Times New Roman" w:cs="Times New Roman" w:eastAsia="Times New Roman" w:hAnsi="Times New Roman"/>
          <w:sz w:val="20"/>
          <w:szCs w:val="20"/>
          <w:b w:val="1"/>
          <w:bCs w:val="1"/>
          <w:color w:val="auto"/>
        </w:rPr>
        <w:t>1.25.</w:t>
        <w:tab/>
        <w:t xml:space="preserve">Attachment 1 to Exhibit C </w:t>
      </w:r>
      <w:r>
        <w:rPr>
          <w:rFonts w:ascii="Times New Roman" w:cs="Times New Roman" w:eastAsia="Times New Roman" w:hAnsi="Times New Roman"/>
          <w:sz w:val="20"/>
          <w:szCs w:val="20"/>
          <w:color w:val="auto"/>
        </w:rPr>
        <w:t>is hereby replaced with the</w:t>
      </w:r>
      <w:r>
        <w:rPr>
          <w:rFonts w:ascii="Times New Roman" w:cs="Times New Roman" w:eastAsia="Times New Roman" w:hAnsi="Times New Roman"/>
          <w:sz w:val="20"/>
          <w:szCs w:val="20"/>
          <w:b w:val="1"/>
          <w:bCs w:val="1"/>
          <w:color w:val="auto"/>
        </w:rPr>
        <w:t xml:space="preserve"> Attachment 1 to Exhibit C </w:t>
      </w:r>
      <w:r>
        <w:rPr>
          <w:rFonts w:ascii="Times New Roman" w:cs="Times New Roman" w:eastAsia="Times New Roman" w:hAnsi="Times New Roman"/>
          <w:sz w:val="20"/>
          <w:szCs w:val="20"/>
          <w:color w:val="auto"/>
        </w:rPr>
        <w:t>attached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Amendment.</w:t>
      </w:r>
    </w:p>
    <w:p>
      <w:pPr>
        <w:spacing w:after="0" w:line="152" w:lineRule="exact"/>
        <w:rPr>
          <w:sz w:val="20"/>
          <w:szCs w:val="20"/>
          <w:color w:val="auto"/>
        </w:rPr>
      </w:pPr>
    </w:p>
    <w:p>
      <w:pPr>
        <w:jc w:val="both"/>
        <w:ind w:left="-7" w:right="99" w:firstLine="7"/>
        <w:spacing w:after="0" w:line="249" w:lineRule="auto"/>
        <w:tabs>
          <w:tab w:leader="none" w:pos="598" w:val="left"/>
        </w:tabs>
        <w:numPr>
          <w:ilvl w:val="0"/>
          <w:numId w:val="9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General</w:t>
      </w:r>
      <w:r>
        <w:rPr>
          <w:rFonts w:ascii="Times New Roman" w:cs="Times New Roman" w:eastAsia="Times New Roman" w:hAnsi="Times New Roman"/>
          <w:sz w:val="20"/>
          <w:szCs w:val="20"/>
          <w:color w:val="auto"/>
        </w:rPr>
        <w:t>. The parties may execute this Amendment in counterparts, including facsimile, PDF, or other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electronic copies, which taken together will constitute one instrument. Except as expressly modified herein, the terms of the Agreement remain in full force and effect.</w:t>
      </w:r>
    </w:p>
    <w:p>
      <w:pPr>
        <w:spacing w:after="0" w:line="175" w:lineRule="exact"/>
        <w:rPr>
          <w:sz w:val="20"/>
          <w:szCs w:val="20"/>
          <w:color w:val="auto"/>
        </w:rPr>
      </w:pPr>
    </w:p>
    <w:p>
      <w:pPr>
        <w:ind w:left="1533"/>
        <w:spacing w:after="0"/>
        <w:rPr>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Remainder of page intentionally left blank; Signature page follows</w:t>
      </w:r>
      <w:r>
        <w:rPr>
          <w:rFonts w:ascii="Times New Roman" w:cs="Times New Roman" w:eastAsia="Times New Roman" w:hAnsi="Times New Roman"/>
          <w:sz w:val="20"/>
          <w:szCs w:val="20"/>
          <w:b w:val="1"/>
          <w:bCs w:val="1"/>
          <w:color w:val="auto"/>
        </w:rPr>
        <w:t>]</w:t>
      </w:r>
    </w:p>
    <w:p>
      <w:pPr>
        <w:sectPr>
          <w:pgSz w:w="11900" w:h="16838" w:orient="portrait"/>
          <w:cols w:equalWidth="0" w:num="1">
            <w:col w:w="9092"/>
          </w:cols>
          <w:pgMar w:left="1367" w:top="1301" w:right="1440" w:bottom="1440" w:gutter="0" w:footer="0" w:header="0"/>
        </w:sectPr>
      </w:pPr>
    </w:p>
    <w:bookmarkStart w:id="180" w:name="page181"/>
    <w:bookmarkEnd w:id="18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219075</wp:posOffset>
            </wp:positionH>
            <wp:positionV relativeFrom="page">
              <wp:posOffset>485775</wp:posOffset>
            </wp:positionV>
            <wp:extent cx="7110730" cy="525018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8">
                      <a:extLst>
                        <a:ext uri="{28A0092B-C50C-407E-A947-70E740481C1C}"/>
                      </a:extLst>
                    </a:blip>
                    <a:srcRect/>
                    <a:stretch>
                      <a:fillRect/>
                    </a:stretch>
                  </pic:blipFill>
                  <pic:spPr bwMode="auto">
                    <a:xfrm>
                      <a:off x="0" y="0"/>
                      <a:ext cx="7110730" cy="5250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80" w:right="119"/>
        <w:spacing w:after="0" w:line="247" w:lineRule="auto"/>
        <w:rPr>
          <w:sz w:val="20"/>
          <w:szCs w:val="20"/>
          <w:color w:val="auto"/>
        </w:rPr>
      </w:pPr>
      <w:r>
        <w:rPr>
          <w:rFonts w:ascii="Times New Roman" w:cs="Times New Roman" w:eastAsia="Times New Roman" w:hAnsi="Times New Roman"/>
          <w:sz w:val="20"/>
          <w:szCs w:val="20"/>
          <w:color w:val="auto"/>
        </w:rPr>
        <w:t>IN WITNESS WHEREOF, the parties have executed this Amendment by persons duly authorized. For avoidance of doubt, the person(s) who sign for the Company represent(s) and warrant(s) that they are duly authorized to bind the Company Site Affiliates to the terms of this Amendment.</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19"/>
                <w:szCs w:val="19"/>
                <w:color w:val="auto"/>
              </w:rPr>
            </w:pP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20"/>
                <w:szCs w:val="20"/>
                <w:b w:val="1"/>
                <w:bCs w:val="1"/>
                <w:color w:val="auto"/>
              </w:rPr>
              <w:t>Google LLC</w:t>
            </w:r>
          </w:p>
        </w:tc>
        <w:tc>
          <w:tcPr>
            <w:tcW w:w="920" w:type="dxa"/>
            <w:vAlign w:val="bottom"/>
            <w:gridSpan w:val="4"/>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IAC Inc.</w:t>
            </w:r>
          </w:p>
        </w:tc>
        <w:tc>
          <w:tcPr>
            <w:tcW w:w="1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453"/>
        </w:trPr>
        <w:tc>
          <w:tcPr>
            <w:tcW w:w="660" w:type="dxa"/>
            <w:vAlign w:val="bottom"/>
          </w:tcPr>
          <w:p>
            <w:pPr>
              <w:spacing w:after="0"/>
              <w:rPr>
                <w:sz w:val="24"/>
                <w:szCs w:val="24"/>
                <w:color w:val="auto"/>
              </w:rPr>
            </w:pPr>
          </w:p>
        </w:tc>
        <w:tc>
          <w:tcPr>
            <w:tcW w:w="18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w w:val="97"/>
              </w:rPr>
              <w:t>/s/ Authorized Signatory</w:t>
            </w:r>
          </w:p>
        </w:tc>
        <w:tc>
          <w:tcPr>
            <w:tcW w:w="400" w:type="dxa"/>
            <w:vAlign w:val="bottom"/>
            <w:gridSpan w:val="2"/>
          </w:tcPr>
          <w:p>
            <w:pPr>
              <w:spacing w:after="0"/>
              <w:rPr>
                <w:sz w:val="24"/>
                <w:szCs w:val="24"/>
                <w:color w:val="auto"/>
              </w:rPr>
            </w:pPr>
          </w:p>
        </w:tc>
        <w:tc>
          <w:tcPr>
            <w:tcW w:w="1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/s/ Authorized Signatory</w:t>
            </w:r>
          </w:p>
        </w:tc>
        <w:tc>
          <w:tcPr>
            <w:tcW w:w="1420" w:type="dxa"/>
            <w:vAlign w:val="bottom"/>
          </w:tcPr>
          <w:p>
            <w:pPr>
              <w:spacing w:after="0"/>
              <w:rPr>
                <w:sz w:val="24"/>
                <w:szCs w:val="24"/>
                <w:color w:val="auto"/>
              </w:rPr>
            </w:pPr>
          </w:p>
        </w:tc>
      </w:tr>
      <w:tr>
        <w:trPr>
          <w:trHeight w:val="553"/>
        </w:trPr>
        <w:tc>
          <w:tcPr>
            <w:tcW w:w="660" w:type="dxa"/>
            <w:vAlign w:val="bottom"/>
          </w:tcPr>
          <w:p>
            <w:pPr>
              <w:spacing w:after="0"/>
              <w:rPr>
                <w:sz w:val="24"/>
                <w:szCs w:val="24"/>
                <w:color w:val="auto"/>
              </w:rPr>
            </w:pPr>
          </w:p>
        </w:tc>
        <w:tc>
          <w:tcPr>
            <w:tcW w:w="2280" w:type="dxa"/>
            <w:vAlign w:val="bottom"/>
            <w:gridSpan w:val="6"/>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Google Ireland Limited</w:t>
            </w:r>
          </w:p>
        </w:tc>
        <w:tc>
          <w:tcPr>
            <w:tcW w:w="3300" w:type="dxa"/>
            <w:vAlign w:val="bottom"/>
            <w:gridSpan w:val="3"/>
          </w:tcPr>
          <w:p>
            <w:pPr>
              <w:ind w:left="120"/>
              <w:spacing w:after="0"/>
              <w:rPr>
                <w:sz w:val="20"/>
                <w:szCs w:val="20"/>
                <w:color w:val="auto"/>
              </w:rPr>
            </w:pPr>
            <w:r>
              <w:rPr>
                <w:rFonts w:ascii="Times New Roman" w:cs="Times New Roman" w:eastAsia="Times New Roman" w:hAnsi="Times New Roman"/>
                <w:sz w:val="20"/>
                <w:szCs w:val="20"/>
                <w:b w:val="1"/>
                <w:bCs w:val="1"/>
                <w:color w:val="auto"/>
                <w:w w:val="97"/>
              </w:rPr>
              <w:t>IAC Search &amp; Media Europe Limited</w:t>
            </w:r>
          </w:p>
        </w:tc>
      </w:tr>
      <w:tr>
        <w:trPr>
          <w:trHeight w:val="426"/>
        </w:trPr>
        <w:tc>
          <w:tcPr>
            <w:tcW w:w="2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 Authorized Signatory</w:t>
            </w:r>
          </w:p>
        </w:tc>
        <w:tc>
          <w:tcPr>
            <w:tcW w:w="260" w:type="dxa"/>
            <w:vAlign w:val="bottom"/>
          </w:tcPr>
          <w:p>
            <w:pPr>
              <w:spacing w:after="0"/>
              <w:rPr>
                <w:sz w:val="24"/>
                <w:szCs w:val="24"/>
                <w:color w:val="auto"/>
              </w:rPr>
            </w:pPr>
          </w:p>
        </w:tc>
        <w:tc>
          <w:tcPr>
            <w:tcW w:w="39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/s/ Authorized Signatory</w:t>
            </w:r>
          </w:p>
        </w:tc>
      </w:tr>
      <w:tr>
        <w:trPr>
          <w:trHeight w:val="20"/>
        </w:trPr>
        <w:tc>
          <w:tcPr>
            <w:tcW w:w="6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040"/>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16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10" w:lineRule="exact"/>
        <w:rPr>
          <w:sz w:val="20"/>
          <w:szCs w:val="20"/>
          <w:color w:val="auto"/>
        </w:rPr>
      </w:pPr>
    </w:p>
    <w:p>
      <w:pPr>
        <w:jc w:val="center"/>
        <w:ind w:right="-1040"/>
        <w:spacing w:after="0"/>
        <w:rPr>
          <w:sz w:val="20"/>
          <w:szCs w:val="20"/>
          <w:color w:val="auto"/>
        </w:rPr>
      </w:pPr>
      <w:r>
        <w:rPr>
          <w:rFonts w:ascii="Times New Roman" w:cs="Times New Roman" w:eastAsia="Times New Roman" w:hAnsi="Times New Roman"/>
          <w:sz w:val="20"/>
          <w:szCs w:val="20"/>
          <w:b w:val="1"/>
          <w:bCs w:val="1"/>
          <w:color w:val="auto"/>
        </w:rPr>
        <w:t>Exhibit B</w:t>
      </w:r>
    </w:p>
    <w:p>
      <w:pPr>
        <w:spacing w:after="0" w:line="18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10" w:lineRule="exact"/>
        <w:rPr>
          <w:sz w:val="20"/>
          <w:szCs w:val="20"/>
          <w:color w:val="auto"/>
        </w:rPr>
      </w:pPr>
    </w:p>
    <w:p>
      <w:pPr>
        <w:jc w:val="center"/>
        <w:ind w:right="-1040"/>
        <w:spacing w:after="0"/>
        <w:rPr>
          <w:sz w:val="20"/>
          <w:szCs w:val="20"/>
          <w:color w:val="auto"/>
        </w:rPr>
      </w:pPr>
      <w:r>
        <w:rPr>
          <w:rFonts w:ascii="Times New Roman" w:cs="Times New Roman" w:eastAsia="Times New Roman" w:hAnsi="Times New Roman"/>
          <w:sz w:val="20"/>
          <w:szCs w:val="20"/>
          <w:b w:val="1"/>
          <w:bCs w:val="1"/>
          <w:color w:val="auto"/>
        </w:rPr>
        <w:t>Attachment 1 to Exhibit C</w:t>
      </w:r>
    </w:p>
    <w:p>
      <w:pPr>
        <w:spacing w:after="0" w:line="26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w:t>
      </w:r>
    </w:p>
    <w:p>
      <w:pPr>
        <w:sectPr>
          <w:pgSz w:w="11900" w:h="16838" w:orient="portrait"/>
          <w:cols w:equalWidth="0" w:num="1">
            <w:col w:w="9779"/>
          </w:cols>
          <w:pgMar w:left="680" w:top="1440" w:right="1440" w:bottom="1440" w:gutter="0" w:footer="0" w:header="0"/>
        </w:sectPr>
      </w:pPr>
    </w:p>
    <w:bookmarkStart w:id="181" w:name="page182"/>
    <w:bookmarkEnd w:id="181"/>
    <w:p>
      <w:pPr>
        <w:jc w:val="right"/>
        <w:spacing w:after="0"/>
        <w:rPr>
          <w:sz w:val="20"/>
          <w:szCs w:val="20"/>
          <w:color w:val="auto"/>
        </w:rPr>
      </w:pPr>
      <w:r>
        <w:rPr>
          <w:rFonts w:ascii="Times New Roman" w:cs="Times New Roman" w:eastAsia="Times New Roman" w:hAnsi="Times New Roman"/>
          <w:sz w:val="20"/>
          <w:szCs w:val="20"/>
          <w:b w:val="1"/>
          <w:bCs w:val="1"/>
          <w:color w:val="auto"/>
        </w:rPr>
        <w:t>Exhibit 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1947545</wp:posOffset>
            </wp:positionH>
            <wp:positionV relativeFrom="paragraph">
              <wp:posOffset>625475</wp:posOffset>
            </wp:positionV>
            <wp:extent cx="1525905" cy="53149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9">
                      <a:extLst>
                        <a:ext uri="{28A0092B-C50C-407E-A947-70E740481C1C}"/>
                      </a:extLst>
                    </a:blip>
                    <a:srcRect/>
                    <a:stretch>
                      <a:fillRect/>
                    </a:stretch>
                  </pic:blipFill>
                  <pic:spPr bwMode="auto">
                    <a:xfrm>
                      <a:off x="0" y="0"/>
                      <a:ext cx="1525905" cy="531495"/>
                    </a:xfrm>
                    <a:prstGeom prst="rect">
                      <a:avLst/>
                    </a:prstGeom>
                    <a:noFill/>
                  </pic:spPr>
                </pic:pic>
              </a:graphicData>
            </a:graphic>
          </wp:anchor>
        </w:drawing>
        <w:drawing>
          <wp:anchor simplePos="0" relativeHeight="251657728" behindDoc="1" locked="0" layoutInCell="0" allowOverlap="1">
            <wp:simplePos x="0" y="0"/>
            <wp:positionH relativeFrom="column">
              <wp:posOffset>-83185</wp:posOffset>
            </wp:positionH>
            <wp:positionV relativeFrom="paragraph">
              <wp:posOffset>1319530</wp:posOffset>
            </wp:positionV>
            <wp:extent cx="537464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60">
                      <a:extLst>
                        <a:ext uri="{28A0092B-C50C-407E-A947-70E740481C1C}"/>
                      </a:extLst>
                    </a:blip>
                    <a:srcRect/>
                    <a:stretch>
                      <a:fillRect/>
                    </a:stretch>
                  </pic:blipFill>
                  <pic:spPr bwMode="auto">
                    <a:xfrm>
                      <a:off x="0" y="0"/>
                      <a:ext cx="537464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5"/>
          <w:szCs w:val="25"/>
          <w:b w:val="1"/>
          <w:bCs w:val="1"/>
          <w:color w:val="auto"/>
        </w:rPr>
        <w:t>SECURITIES 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41275</wp:posOffset>
            </wp:positionV>
            <wp:extent cx="537464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61">
                      <a:extLst>
                        <a:ext uri="{28A0092B-C50C-407E-A947-70E740481C1C}"/>
                      </a:extLst>
                    </a:blip>
                    <a:srcRect/>
                    <a:stretch>
                      <a:fillRect/>
                    </a:stretch>
                  </pic:blipFill>
                  <pic:spPr bwMode="auto">
                    <a:xfrm>
                      <a:off x="0" y="0"/>
                      <a:ext cx="5374640" cy="17145"/>
                    </a:xfrm>
                    <a:prstGeom prst="rect">
                      <a:avLst/>
                    </a:prstGeom>
                    <a:noFill/>
                  </pic:spPr>
                </pic:pic>
              </a:graphicData>
            </a:graphic>
          </wp:anchor>
        </w:drawing>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Scope</w:t>
      </w:r>
    </w:p>
    <w:p>
      <w:pPr>
        <w:spacing w:after="0" w:line="1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IAC Inc. (“IAC” or the “Company”) has adopted this Securities Trading Policy (the</w:t>
      </w:r>
    </w:p>
    <w:p>
      <w:pPr>
        <w:spacing w:after="0" w:line="28" w:lineRule="exact"/>
        <w:rPr>
          <w:sz w:val="20"/>
          <w:szCs w:val="20"/>
          <w:color w:val="auto"/>
        </w:rPr>
      </w:pPr>
    </w:p>
    <w:p>
      <w:pPr>
        <w:ind w:right="180"/>
        <w:spacing w:after="0" w:line="246" w:lineRule="auto"/>
        <w:rPr>
          <w:sz w:val="20"/>
          <w:szCs w:val="20"/>
          <w:color w:val="auto"/>
        </w:rPr>
      </w:pPr>
      <w:r>
        <w:rPr>
          <w:rFonts w:ascii="Times New Roman" w:cs="Times New Roman" w:eastAsia="Times New Roman" w:hAnsi="Times New Roman"/>
          <w:sz w:val="22"/>
          <w:szCs w:val="22"/>
          <w:color w:val="auto"/>
        </w:rPr>
        <w:t>“Policy”) to promote compliance with federal securities laws by Covered Persons. For purposes of this Policy, “Covered Person” means: (i) directors, officers and employees of IAC and its subsidiaries, (ii) any other persons (such as contractors or consultants) who have access to material non-public information concerning IAC and its subsidiaries from time to time, (iii) any spouses, domestic partners, minor children and other family members (if they share the same household) of the persons listed in (i) and (ii), and (iv) any entity or account over which the persons listed in (i), (ii) and (iii) above have or share the power, directly or indirectly, to make investment decisions, whether or not such persons have a financial interest in such entity or account (“Affiliated Persons and Entities”).</w:t>
      </w:r>
    </w:p>
    <w:p>
      <w:pPr>
        <w:spacing w:after="0" w:line="213" w:lineRule="exact"/>
        <w:rPr>
          <w:sz w:val="20"/>
          <w:szCs w:val="20"/>
          <w:color w:val="auto"/>
        </w:rPr>
      </w:pPr>
    </w:p>
    <w:p>
      <w:pPr>
        <w:ind w:right="220" w:firstLine="648"/>
        <w:spacing w:after="0" w:line="251" w:lineRule="auto"/>
        <w:rPr>
          <w:sz w:val="20"/>
          <w:szCs w:val="20"/>
          <w:color w:val="auto"/>
        </w:rPr>
      </w:pPr>
      <w:r>
        <w:rPr>
          <w:rFonts w:ascii="Times New Roman" w:cs="Times New Roman" w:eastAsia="Times New Roman" w:hAnsi="Times New Roman"/>
          <w:sz w:val="22"/>
          <w:szCs w:val="22"/>
          <w:color w:val="auto"/>
        </w:rPr>
        <w:t xml:space="preserve">The Policy also is designed to protect an important corporate asset: IAC’s reputation for integrity and ethical conduct. The Policy governs transactions in securities of IAC, any of its publicly traded subsidiaries and any other issuer where a Covered Person comes into possession of material non-public information concerning such issuer in the course of providing services to IAC or its subsidiaries. </w:t>
      </w:r>
      <w:r>
        <w:rPr>
          <w:rFonts w:ascii="Times New Roman" w:cs="Times New Roman" w:eastAsia="Times New Roman" w:hAnsi="Times New Roman"/>
          <w:sz w:val="22"/>
          <w:szCs w:val="22"/>
          <w:b w:val="1"/>
          <w:bCs w:val="1"/>
          <w:i w:val="1"/>
          <w:iCs w:val="1"/>
          <w:color w:val="auto"/>
        </w:rPr>
        <w:t>As a result of this Policy and applicable securities laws, Covered Persons may, from time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to time, have to forego or delay a desired securities transaction, and may suffer economic loss or forego anticipated profit as a result.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Material Non-Public Information</w:t>
      </w:r>
    </w:p>
    <w:p>
      <w:pPr>
        <w:spacing w:after="0" w:line="112" w:lineRule="exact"/>
        <w:rPr>
          <w:sz w:val="20"/>
          <w:szCs w:val="20"/>
          <w:color w:val="auto"/>
        </w:rPr>
      </w:pPr>
    </w:p>
    <w:p>
      <w:pPr>
        <w:ind w:right="280" w:firstLine="648"/>
        <w:spacing w:after="0" w:line="252" w:lineRule="auto"/>
        <w:rPr>
          <w:sz w:val="20"/>
          <w:szCs w:val="20"/>
          <w:color w:val="auto"/>
        </w:rPr>
      </w:pPr>
      <w:r>
        <w:rPr>
          <w:rFonts w:ascii="Times New Roman" w:cs="Times New Roman" w:eastAsia="Times New Roman" w:hAnsi="Times New Roman"/>
          <w:sz w:val="22"/>
          <w:szCs w:val="22"/>
          <w:i w:val="1"/>
          <w:iCs w:val="1"/>
          <w:color w:val="auto"/>
        </w:rPr>
        <w:t xml:space="preserve">Prohibitions Related to Material Non-Public Information. </w:t>
      </w:r>
      <w:r>
        <w:rPr>
          <w:rFonts w:ascii="Times New Roman" w:cs="Times New Roman" w:eastAsia="Times New Roman" w:hAnsi="Times New Roman"/>
          <w:sz w:val="22"/>
          <w:szCs w:val="22"/>
          <w:color w:val="auto"/>
        </w:rPr>
        <w:t>Federal securities laws prohibit a person from trading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securities if the person possesses material non-public information about the issuer of such securities. These laws also prohibit persons who are aware of such information from disclosing or “tipping” this information to others who may trade. The consequences of prohibited insider trading or tipping can be severe and may result in private lawsuits for damages and/or in civil or criminal proceedings by the U. S. Securities and Exchange Commission (the “SEC”) and federal prosecutors. Additionally, liability also may be imposed on IAC for violations of securities laws by Covered Persons.</w:t>
      </w:r>
    </w:p>
    <w:p>
      <w:pPr>
        <w:spacing w:after="0" w:line="175" w:lineRule="exact"/>
        <w:rPr>
          <w:sz w:val="20"/>
          <w:szCs w:val="20"/>
          <w:color w:val="auto"/>
        </w:rPr>
      </w:pPr>
    </w:p>
    <w:p>
      <w:pPr>
        <w:jc w:val="both"/>
        <w:ind w:right="340" w:firstLine="648"/>
        <w:spacing w:after="0" w:line="259" w:lineRule="auto"/>
        <w:rPr>
          <w:sz w:val="20"/>
          <w:szCs w:val="20"/>
          <w:color w:val="auto"/>
        </w:rPr>
      </w:pPr>
      <w:r>
        <w:rPr>
          <w:rFonts w:ascii="Times New Roman" w:cs="Times New Roman" w:eastAsia="Times New Roman" w:hAnsi="Times New Roman"/>
          <w:sz w:val="22"/>
          <w:szCs w:val="22"/>
          <w:i w:val="1"/>
          <w:iCs w:val="1"/>
          <w:color w:val="auto"/>
        </w:rPr>
        <w:t>Material Non-Public Information</w:t>
      </w:r>
      <w:r>
        <w:rPr>
          <w:rFonts w:ascii="Times New Roman" w:cs="Times New Roman" w:eastAsia="Times New Roman" w:hAnsi="Times New Roman"/>
          <w:sz w:val="22"/>
          <w:szCs w:val="22"/>
          <w:color w:val="auto"/>
        </w:rPr>
        <w:t>. “Material” information has been defined as information that could be expected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affect the investment decision of a reasonable investor or affect the market price of a given stock. What is material is usually determined on a case-by-case basis, in light of all of the surrounding circumstances.</w:t>
      </w:r>
    </w:p>
    <w:p>
      <w:pPr>
        <w:sectPr>
          <w:pgSz w:w="11900" w:h="16838" w:orient="portrait"/>
          <w:cols w:equalWidth="0" w:num="1">
            <w:col w:w="11100"/>
          </w:cols>
          <w:pgMar w:left="460" w:top="356" w:right="339" w:bottom="1440" w:gutter="0" w:footer="0" w:header="0"/>
        </w:sectPr>
      </w:pPr>
    </w:p>
    <w:bookmarkStart w:id="182" w:name="page183"/>
    <w:bookmarkEnd w:id="182"/>
    <w:p>
      <w:pPr>
        <w:jc w:val="right"/>
        <w:spacing w:after="0"/>
        <w:rPr>
          <w:sz w:val="20"/>
          <w:szCs w:val="20"/>
          <w:color w:val="auto"/>
        </w:rPr>
      </w:pPr>
      <w:r>
        <w:rPr>
          <w:rFonts w:ascii="Times New Roman" w:cs="Times New Roman" w:eastAsia="Times New Roman" w:hAnsi="Times New Roman"/>
          <w:sz w:val="20"/>
          <w:szCs w:val="20"/>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60" w:right="340" w:firstLine="648"/>
        <w:spacing w:after="0" w:line="257" w:lineRule="auto"/>
        <w:rPr>
          <w:sz w:val="20"/>
          <w:szCs w:val="20"/>
          <w:color w:val="auto"/>
        </w:rPr>
      </w:pPr>
      <w:r>
        <w:rPr>
          <w:rFonts w:ascii="Times New Roman" w:cs="Times New Roman" w:eastAsia="Times New Roman" w:hAnsi="Times New Roman"/>
          <w:sz w:val="22"/>
          <w:szCs w:val="22"/>
          <w:color w:val="auto"/>
        </w:rPr>
        <w:t>Information should be considered non-public if it has not been disclosed in reports filed or furnished with the SEC or has not been the subject of a widely disseminated press release. If it is not clear whether information has been sufficiently publicized, it should be treated as if it is non-public.</w:t>
      </w:r>
    </w:p>
    <w:p>
      <w:pPr>
        <w:spacing w:after="0" w:line="20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auto"/>
        </w:rPr>
        <w:t>Examples of non-public information that could be material include:</w:t>
      </w:r>
    </w:p>
    <w:p>
      <w:pPr>
        <w:spacing w:after="0" w:line="260" w:lineRule="exact"/>
        <w:rPr>
          <w:sz w:val="20"/>
          <w:szCs w:val="20"/>
          <w:color w:val="auto"/>
        </w:rPr>
      </w:pPr>
    </w:p>
    <w:p>
      <w:pPr>
        <w:ind w:left="1020" w:hanging="319"/>
        <w:spacing w:after="0"/>
        <w:tabs>
          <w:tab w:leader="none" w:pos="102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unpublished earnings reports, projections or other financial information;</w:t>
      </w:r>
    </w:p>
    <w:p>
      <w:pPr>
        <w:spacing w:after="0" w:line="27" w:lineRule="exact"/>
        <w:rPr>
          <w:rFonts w:ascii="Times New Roman" w:cs="Times New Roman" w:eastAsia="Times New Roman" w:hAnsi="Times New Roman"/>
          <w:sz w:val="22"/>
          <w:szCs w:val="22"/>
          <w:color w:val="auto"/>
        </w:rPr>
      </w:pPr>
    </w:p>
    <w:p>
      <w:pPr>
        <w:ind w:left="1020" w:hanging="319"/>
        <w:spacing w:after="0"/>
        <w:tabs>
          <w:tab w:leader="none" w:pos="102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operating metrics or other key performance indicators;</w:t>
      </w:r>
    </w:p>
    <w:p>
      <w:pPr>
        <w:spacing w:after="0" w:line="5" w:lineRule="exact"/>
        <w:rPr>
          <w:rFonts w:ascii="Times New Roman" w:cs="Times New Roman" w:eastAsia="Times New Roman" w:hAnsi="Times New Roman"/>
          <w:sz w:val="22"/>
          <w:szCs w:val="22"/>
          <w:color w:val="auto"/>
        </w:rPr>
      </w:pPr>
    </w:p>
    <w:p>
      <w:pPr>
        <w:ind w:left="1020" w:hanging="319"/>
        <w:spacing w:after="0"/>
        <w:tabs>
          <w:tab w:leader="none" w:pos="102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proposed major spending programs;</w:t>
      </w:r>
    </w:p>
    <w:p>
      <w:pPr>
        <w:spacing w:after="0" w:line="15" w:lineRule="exact"/>
        <w:rPr>
          <w:rFonts w:ascii="Times New Roman" w:cs="Times New Roman" w:eastAsia="Times New Roman" w:hAnsi="Times New Roman"/>
          <w:sz w:val="22"/>
          <w:szCs w:val="22"/>
          <w:color w:val="auto"/>
        </w:rPr>
      </w:pPr>
    </w:p>
    <w:p>
      <w:pPr>
        <w:ind w:left="1020" w:right="1520" w:hanging="319"/>
        <w:spacing w:after="0" w:line="244" w:lineRule="auto"/>
        <w:tabs>
          <w:tab w:leader="none" w:pos="1015"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pending or threatened regulatory or litigation proceedings (including updates regarding the status or resolution thereof);</w:t>
      </w:r>
    </w:p>
    <w:p>
      <w:pPr>
        <w:ind w:left="1020" w:hanging="319"/>
        <w:spacing w:after="0"/>
        <w:tabs>
          <w:tab w:leader="none" w:pos="102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changes in senior management or the Board of Directors of the Company;</w:t>
      </w:r>
    </w:p>
    <w:p>
      <w:pPr>
        <w:spacing w:after="0" w:line="15" w:lineRule="exact"/>
        <w:rPr>
          <w:rFonts w:ascii="Times New Roman" w:cs="Times New Roman" w:eastAsia="Times New Roman" w:hAnsi="Times New Roman"/>
          <w:sz w:val="22"/>
          <w:szCs w:val="22"/>
          <w:color w:val="auto"/>
        </w:rPr>
      </w:pPr>
    </w:p>
    <w:p>
      <w:pPr>
        <w:ind w:left="1020" w:right="800" w:hanging="319"/>
        <w:spacing w:after="0" w:line="244" w:lineRule="auto"/>
        <w:tabs>
          <w:tab w:leader="none" w:pos="1015"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pending or proposed merger, acquisition or divestiture of a significant business or significant assets, or the proposed curtailment of significant operations;</w:t>
      </w:r>
    </w:p>
    <w:p>
      <w:pPr>
        <w:ind w:left="1020" w:hanging="319"/>
        <w:spacing w:after="0"/>
        <w:tabs>
          <w:tab w:leader="none" w:pos="102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offerings or other financings;</w:t>
      </w:r>
    </w:p>
    <w:p>
      <w:pPr>
        <w:spacing w:after="0" w:line="15" w:lineRule="exact"/>
        <w:rPr>
          <w:rFonts w:ascii="Times New Roman" w:cs="Times New Roman" w:eastAsia="Times New Roman" w:hAnsi="Times New Roman"/>
          <w:sz w:val="22"/>
          <w:szCs w:val="22"/>
          <w:color w:val="auto"/>
        </w:rPr>
      </w:pPr>
    </w:p>
    <w:p>
      <w:pPr>
        <w:ind w:left="1020" w:hanging="318"/>
        <w:spacing w:after="0"/>
        <w:tabs>
          <w:tab w:leader="none" w:pos="102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debt ratings, or analyst upgrades or downgrades;</w:t>
      </w:r>
    </w:p>
    <w:p>
      <w:pPr>
        <w:spacing w:after="0" w:line="5" w:lineRule="exact"/>
        <w:rPr>
          <w:rFonts w:ascii="Times New Roman" w:cs="Times New Roman" w:eastAsia="Times New Roman" w:hAnsi="Times New Roman"/>
          <w:sz w:val="22"/>
          <w:szCs w:val="22"/>
          <w:color w:val="auto"/>
        </w:rPr>
      </w:pPr>
    </w:p>
    <w:p>
      <w:pPr>
        <w:ind w:left="1020" w:hanging="318"/>
        <w:spacing w:after="0"/>
        <w:tabs>
          <w:tab w:leader="none" w:pos="102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liquidity issues;</w:t>
      </w:r>
    </w:p>
    <w:p>
      <w:pPr>
        <w:spacing w:after="0" w:line="15" w:lineRule="exact"/>
        <w:rPr>
          <w:rFonts w:ascii="Times New Roman" w:cs="Times New Roman" w:eastAsia="Times New Roman" w:hAnsi="Times New Roman"/>
          <w:sz w:val="22"/>
          <w:szCs w:val="22"/>
          <w:color w:val="auto"/>
        </w:rPr>
      </w:pPr>
    </w:p>
    <w:p>
      <w:pPr>
        <w:ind w:left="1020" w:hanging="318"/>
        <w:spacing w:after="0"/>
        <w:tabs>
          <w:tab w:leader="none" w:pos="102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changes in accounting treatment, write-offs or effective tax rate;</w:t>
      </w:r>
    </w:p>
    <w:p>
      <w:pPr>
        <w:spacing w:after="0" w:line="5" w:lineRule="exact"/>
        <w:rPr>
          <w:rFonts w:ascii="Times New Roman" w:cs="Times New Roman" w:eastAsia="Times New Roman" w:hAnsi="Times New Roman"/>
          <w:sz w:val="22"/>
          <w:szCs w:val="22"/>
          <w:color w:val="auto"/>
        </w:rPr>
      </w:pPr>
    </w:p>
    <w:p>
      <w:pPr>
        <w:ind w:left="1020" w:hanging="318"/>
        <w:spacing w:after="0"/>
        <w:tabs>
          <w:tab w:leader="none" w:pos="102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new product or feature launches;</w:t>
      </w:r>
    </w:p>
    <w:p>
      <w:pPr>
        <w:spacing w:after="0" w:line="15" w:lineRule="exact"/>
        <w:rPr>
          <w:rFonts w:ascii="Times New Roman" w:cs="Times New Roman" w:eastAsia="Times New Roman" w:hAnsi="Times New Roman"/>
          <w:sz w:val="22"/>
          <w:szCs w:val="22"/>
          <w:color w:val="auto"/>
        </w:rPr>
      </w:pPr>
    </w:p>
    <w:p>
      <w:pPr>
        <w:ind w:left="1020" w:hanging="318"/>
        <w:spacing w:after="0"/>
        <w:tabs>
          <w:tab w:leader="none" w:pos="102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new major contracts, suppliers, customers (or the loss thereof); and</w:t>
      </w:r>
    </w:p>
    <w:p>
      <w:pPr>
        <w:spacing w:after="0" w:line="5" w:lineRule="exact"/>
        <w:rPr>
          <w:rFonts w:ascii="Times New Roman" w:cs="Times New Roman" w:eastAsia="Times New Roman" w:hAnsi="Times New Roman"/>
          <w:sz w:val="22"/>
          <w:szCs w:val="22"/>
          <w:color w:val="auto"/>
        </w:rPr>
      </w:pPr>
    </w:p>
    <w:p>
      <w:pPr>
        <w:jc w:val="both"/>
        <w:ind w:left="1020" w:right="340" w:hanging="319"/>
        <w:spacing w:after="0" w:line="251" w:lineRule="auto"/>
        <w:tabs>
          <w:tab w:leader="none" w:pos="1015"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operational issues (or investigations of potential operational issues), including cybersecurity incidents, particularly those involving a breach that compromises the function of IAC’s information or other systems and/or results in the exposure or loss of user information (particularly personal information).</w:t>
      </w:r>
    </w:p>
    <w:p>
      <w:pPr>
        <w:spacing w:after="0" w:line="71" w:lineRule="exact"/>
        <w:rPr>
          <w:sz w:val="20"/>
          <w:szCs w:val="20"/>
          <w:color w:val="auto"/>
        </w:rPr>
      </w:pPr>
    </w:p>
    <w:p>
      <w:pPr>
        <w:ind w:left="60" w:right="1260" w:firstLine="648"/>
        <w:spacing w:after="0" w:line="271" w:lineRule="auto"/>
        <w:rPr>
          <w:sz w:val="20"/>
          <w:szCs w:val="20"/>
          <w:color w:val="auto"/>
        </w:rPr>
      </w:pPr>
      <w:r>
        <w:rPr>
          <w:rFonts w:ascii="Times New Roman" w:cs="Times New Roman" w:eastAsia="Times New Roman" w:hAnsi="Times New Roman"/>
          <w:sz w:val="22"/>
          <w:szCs w:val="22"/>
          <w:color w:val="auto"/>
        </w:rPr>
        <w:t>This list is illustrative only and is not intended to provide a comprehensive list of circumstances that could give rise to material information.</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b w:val="1"/>
          <w:bCs w:val="1"/>
          <w:color w:val="auto"/>
        </w:rPr>
        <w:t>General Securities Trading Policy</w:t>
      </w:r>
    </w:p>
    <w:p>
      <w:pPr>
        <w:spacing w:after="0" w:line="125" w:lineRule="exact"/>
        <w:rPr>
          <w:sz w:val="20"/>
          <w:szCs w:val="20"/>
          <w:color w:val="auto"/>
        </w:rPr>
      </w:pPr>
    </w:p>
    <w:p>
      <w:pPr>
        <w:ind w:left="60" w:right="220" w:firstLine="730"/>
        <w:spacing w:after="0" w:line="250" w:lineRule="auto"/>
        <w:rPr>
          <w:sz w:val="20"/>
          <w:szCs w:val="20"/>
          <w:color w:val="auto"/>
        </w:rPr>
      </w:pPr>
      <w:r>
        <w:rPr>
          <w:rFonts w:ascii="Times New Roman" w:cs="Times New Roman" w:eastAsia="Times New Roman" w:hAnsi="Times New Roman"/>
          <w:sz w:val="22"/>
          <w:szCs w:val="22"/>
          <w:i w:val="1"/>
          <w:iCs w:val="1"/>
          <w:color w:val="auto"/>
        </w:rPr>
        <w:t>Prohibition on Trading While in Possession of Material Non-Public Information</w:t>
      </w:r>
      <w:r>
        <w:rPr>
          <w:rFonts w:ascii="Times New Roman" w:cs="Times New Roman" w:eastAsia="Times New Roman" w:hAnsi="Times New Roman"/>
          <w:sz w:val="22"/>
          <w:szCs w:val="22"/>
          <w:color w:val="auto"/>
        </w:rPr>
        <w:t>. A Covered Person may not buy, sell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 otherwise transfer securities of IAC and/or its publicly traded subsidiaries if such person is in possession of any material non-public information regarding IAC or the relevant publicly traded subsidiary, as applicable. In addition, a Covered Person may not buy, sell, or otherwise transfer securities of another issuer if such person came into possession of any material non-public information concerning such issuer in the course of providing services to IAC or its subsidiaries. A Covered Person may trade in a given security only when all material information known to such person has been made publicly available to investors generally for at least two business days.</w:t>
      </w:r>
    </w:p>
    <w:p>
      <w:pPr>
        <w:spacing w:after="0" w:line="180" w:lineRule="exact"/>
        <w:rPr>
          <w:sz w:val="20"/>
          <w:szCs w:val="20"/>
          <w:color w:val="auto"/>
        </w:rPr>
      </w:pPr>
    </w:p>
    <w:p>
      <w:pPr>
        <w:ind w:left="60" w:right="380" w:firstLine="730"/>
        <w:spacing w:after="0" w:line="254" w:lineRule="auto"/>
        <w:rPr>
          <w:sz w:val="20"/>
          <w:szCs w:val="20"/>
          <w:color w:val="auto"/>
        </w:rPr>
      </w:pPr>
      <w:r>
        <w:rPr>
          <w:rFonts w:ascii="Times New Roman" w:cs="Times New Roman" w:eastAsia="Times New Roman" w:hAnsi="Times New Roman"/>
          <w:sz w:val="22"/>
          <w:szCs w:val="22"/>
          <w:i w:val="1"/>
          <w:iCs w:val="1"/>
          <w:color w:val="auto"/>
        </w:rPr>
        <w:t>Covered and Prohibited Transactions</w:t>
      </w:r>
      <w:r>
        <w:rPr>
          <w:rFonts w:ascii="Times New Roman" w:cs="Times New Roman" w:eastAsia="Times New Roman" w:hAnsi="Times New Roman"/>
          <w:sz w:val="22"/>
          <w:szCs w:val="22"/>
          <w:color w:val="auto"/>
        </w:rPr>
        <w:t>. For the avoidance of doubt, a purchase, sale or other transfer for purposes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this Policy includes (among other transactions): (i) gifts of securities of IAC and/or its publicly traded subsidiaries, (ii) any sale of stock acquired upon the exercise of employee stock options (including the simultaneous sale of Company shares into the market through a broker to cover exercise price and tax obligations due in connection with a given exercise (commonly referred to as a “cashless exercise”)) and/or the vesting of restricted</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160"/>
          </w:cols>
          <w:pgMar w:left="400" w:top="356" w:right="339" w:bottom="1440" w:gutter="0" w:footer="0" w:header="0"/>
        </w:sectPr>
      </w:pPr>
    </w:p>
    <w:bookmarkStart w:id="183" w:name="page184"/>
    <w:bookmarkEnd w:id="183"/>
    <w:p>
      <w:pPr>
        <w:jc w:val="right"/>
        <w:spacing w:after="0"/>
        <w:rPr>
          <w:sz w:val="20"/>
          <w:szCs w:val="20"/>
          <w:color w:val="auto"/>
        </w:rPr>
      </w:pPr>
      <w:r>
        <w:rPr>
          <w:rFonts w:ascii="Times New Roman" w:cs="Times New Roman" w:eastAsia="Times New Roman" w:hAnsi="Times New Roman"/>
          <w:sz w:val="20"/>
          <w:szCs w:val="20"/>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right="200"/>
        <w:spacing w:after="0" w:line="248" w:lineRule="auto"/>
        <w:rPr>
          <w:sz w:val="20"/>
          <w:szCs w:val="20"/>
          <w:color w:val="auto"/>
        </w:rPr>
      </w:pPr>
      <w:r>
        <w:rPr>
          <w:rFonts w:ascii="Times New Roman" w:cs="Times New Roman" w:eastAsia="Times New Roman" w:hAnsi="Times New Roman"/>
          <w:sz w:val="22"/>
          <w:szCs w:val="22"/>
          <w:color w:val="auto"/>
        </w:rPr>
        <w:t>stock and restricted stock unit awards and (iii) IAC 401(k) plan elections to begin or change participation levels in the plan’s IAC stock fund and/or initiate an intra-plan transfer of an existing account balance into (or out of) the IAC stock fund. In addition, certain other transactions are expressly prohibited by this Policy, all of which are discussed in more detail below. For the avoidance of doubt, a purchase, sale or other transfer for purposes of this Policy does not include the withholding of Company shares to cover exercise price and/or tax obligations due in connection with stock option exercises (commonly referred to as a “net settlement”) and/or the vesting of restricted stock and restricted stock unit awards.</w:t>
      </w:r>
    </w:p>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b w:val="1"/>
          <w:bCs w:val="1"/>
          <w:color w:val="auto"/>
        </w:rPr>
        <w:t>Prohibition on Tipping</w:t>
      </w:r>
    </w:p>
    <w:p>
      <w:pPr>
        <w:spacing w:after="0" w:line="22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auto"/>
        </w:rPr>
        <w:t>A Covered Person may not:</w:t>
      </w:r>
    </w:p>
    <w:p>
      <w:pPr>
        <w:spacing w:after="0" w:line="220" w:lineRule="exact"/>
        <w:rPr>
          <w:sz w:val="20"/>
          <w:szCs w:val="20"/>
          <w:color w:val="auto"/>
        </w:rPr>
      </w:pPr>
    </w:p>
    <w:p>
      <w:pPr>
        <w:jc w:val="both"/>
        <w:ind w:left="1020" w:right="240" w:hanging="318"/>
        <w:spacing w:after="0" w:line="256" w:lineRule="auto"/>
        <w:tabs>
          <w:tab w:leader="none" w:pos="1014"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pass on to any non-Covered Person any material non-public information concerning IAC and/or any of its publicly traded subsidiaries, whether or not the Covered Person has any information regarding the non-Covered Person’s intention to engage in any transaction involving securities of IAC and/or its publicly traded subsidiaries, except as required by the Covered Person’s job duties;</w:t>
      </w:r>
    </w:p>
    <w:p>
      <w:pPr>
        <w:spacing w:after="0" w:line="176" w:lineRule="exact"/>
        <w:rPr>
          <w:rFonts w:ascii="Times New Roman" w:cs="Times New Roman" w:eastAsia="Times New Roman" w:hAnsi="Times New Roman"/>
          <w:sz w:val="22"/>
          <w:szCs w:val="22"/>
          <w:color w:val="auto"/>
        </w:rPr>
      </w:pPr>
    </w:p>
    <w:p>
      <w:pPr>
        <w:jc w:val="both"/>
        <w:ind w:left="1020" w:right="220" w:hanging="318"/>
        <w:spacing w:after="0" w:line="257" w:lineRule="auto"/>
        <w:tabs>
          <w:tab w:leader="none" w:pos="1014"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recommend to any other person that such person engage in (or refrain from engaging in) any transaction involving securities of IAC and/or its publicly traded subsidiaries if such Covered Person is in possession of material non-public information regarding IAC and/or its publicly traded subsidiaries; and</w:t>
      </w:r>
    </w:p>
    <w:p>
      <w:pPr>
        <w:spacing w:after="0" w:line="172" w:lineRule="exact"/>
        <w:rPr>
          <w:rFonts w:ascii="Times New Roman" w:cs="Times New Roman" w:eastAsia="Times New Roman" w:hAnsi="Times New Roman"/>
          <w:sz w:val="22"/>
          <w:szCs w:val="22"/>
          <w:color w:val="auto"/>
        </w:rPr>
      </w:pPr>
    </w:p>
    <w:p>
      <w:pPr>
        <w:ind w:left="1020" w:right="700" w:hanging="319"/>
        <w:spacing w:after="0" w:line="256" w:lineRule="auto"/>
        <w:tabs>
          <w:tab w:leader="none" w:pos="1015"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pass on to any other person material non-public information concerning another company which the Covered Person came into possession of in the course of providing services to IAC or its subsidiaries if such other person may misuse that information, such as by purchasing or selling securities of such other company or tipping that information to others.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b w:val="1"/>
          <w:bCs w:val="1"/>
          <w:color w:val="auto"/>
        </w:rPr>
        <w:t>Prohibition on Short Sales, Derivative Transactions and Hedging Transactions</w:t>
      </w:r>
    </w:p>
    <w:p>
      <w:pPr>
        <w:spacing w:after="0" w:line="116" w:lineRule="exact"/>
        <w:rPr>
          <w:sz w:val="20"/>
          <w:szCs w:val="20"/>
          <w:color w:val="auto"/>
        </w:rPr>
      </w:pPr>
    </w:p>
    <w:p>
      <w:pPr>
        <w:ind w:left="60" w:right="320" w:firstLine="648"/>
        <w:spacing w:after="0" w:line="267" w:lineRule="auto"/>
        <w:rPr>
          <w:sz w:val="20"/>
          <w:szCs w:val="20"/>
          <w:color w:val="auto"/>
        </w:rPr>
      </w:pPr>
      <w:r>
        <w:rPr>
          <w:rFonts w:ascii="Times New Roman" w:cs="Times New Roman" w:eastAsia="Times New Roman" w:hAnsi="Times New Roman"/>
          <w:sz w:val="21"/>
          <w:szCs w:val="21"/>
          <w:color w:val="auto"/>
        </w:rPr>
        <w:t>Regardless of whether a Covered Person is in possession of material non-public information, no Covered Person may engage in: (i) transactions in publicly traded options, warrants, puts and calls or similar instruments relating to securities of IAC and/or its publicly traded subsidiaries, (ii) short sales of securities of IAC and/or its publicly traded subsidiaries and/or</w:t>
      </w:r>
    </w:p>
    <w:p>
      <w:pPr>
        <w:spacing w:after="0" w:line="1" w:lineRule="exact"/>
        <w:rPr>
          <w:sz w:val="20"/>
          <w:szCs w:val="20"/>
          <w:color w:val="auto"/>
        </w:rPr>
      </w:pPr>
    </w:p>
    <w:p>
      <w:pPr>
        <w:ind w:left="60" w:right="240" w:hanging="7"/>
        <w:spacing w:after="0" w:line="245" w:lineRule="auto"/>
        <w:tabs>
          <w:tab w:leader="none" w:pos="438"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hedging transactions (or any other transaction that hedges or offsets, or is designed to hedge or offset) any decrease in the market value of securities of IAC and/or its publicly traded subsidiaries. This prohibition extends to any and all forms of hedging and monetization transactions, such as zero-cost collars and forward sale contracts (among others).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b w:val="1"/>
          <w:bCs w:val="1"/>
          <w:color w:val="auto"/>
        </w:rPr>
        <w:t>Prohibition on Margin Accounts and Pledging</w:t>
      </w:r>
    </w:p>
    <w:p>
      <w:pPr>
        <w:spacing w:after="0" w:line="129" w:lineRule="exact"/>
        <w:rPr>
          <w:sz w:val="20"/>
          <w:szCs w:val="20"/>
          <w:color w:val="auto"/>
        </w:rPr>
      </w:pPr>
    </w:p>
    <w:p>
      <w:pPr>
        <w:ind w:left="60" w:right="320" w:firstLine="648"/>
        <w:spacing w:after="0" w:line="275" w:lineRule="auto"/>
        <w:rPr>
          <w:sz w:val="20"/>
          <w:szCs w:val="20"/>
          <w:color w:val="auto"/>
        </w:rPr>
      </w:pPr>
      <w:r>
        <w:rPr>
          <w:rFonts w:ascii="Times New Roman" w:cs="Times New Roman" w:eastAsia="Times New Roman" w:hAnsi="Times New Roman"/>
          <w:sz w:val="21"/>
          <w:szCs w:val="21"/>
          <w:color w:val="auto"/>
        </w:rPr>
        <w:t>Securities of IAC and/or its publicly traded subsidiaries held in a margin account as collateral for a margin loan may be sold by the relevant broker without customer consent if the customer fails to meet a margin call. Similarly, securities of IAC and/or its publicly traded subsidiaries pledged (or hypothecated) as collateral for a loan may be sold in foreclosure upon</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160"/>
          </w:cols>
          <w:pgMar w:left="400" w:top="356" w:right="339" w:bottom="1440" w:gutter="0" w:footer="0" w:header="0"/>
        </w:sectPr>
      </w:pPr>
    </w:p>
    <w:bookmarkStart w:id="184" w:name="page185"/>
    <w:bookmarkEnd w:id="184"/>
    <w:p>
      <w:pPr>
        <w:jc w:val="right"/>
        <w:spacing w:after="0"/>
        <w:rPr>
          <w:sz w:val="20"/>
          <w:szCs w:val="20"/>
          <w:color w:val="auto"/>
        </w:rPr>
      </w:pPr>
      <w:r>
        <w:rPr>
          <w:rFonts w:ascii="Times New Roman" w:cs="Times New Roman" w:eastAsia="Times New Roman" w:hAnsi="Times New Roman"/>
          <w:sz w:val="20"/>
          <w:szCs w:val="20"/>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60" w:right="240"/>
        <w:spacing w:after="0" w:line="251" w:lineRule="auto"/>
        <w:rPr>
          <w:sz w:val="20"/>
          <w:szCs w:val="20"/>
          <w:color w:val="auto"/>
        </w:rPr>
      </w:pPr>
      <w:r>
        <w:rPr>
          <w:rFonts w:ascii="Times New Roman" w:cs="Times New Roman" w:eastAsia="Times New Roman" w:hAnsi="Times New Roman"/>
          <w:sz w:val="22"/>
          <w:szCs w:val="22"/>
          <w:color w:val="auto"/>
        </w:rPr>
        <w:t>default on the loan. Because a margin or foreclosure sale may occur at any time (including when the borrower or pledgor (as applicable) is in possession of material non-public information or otherwise not permitted to trade in securities of the relevant entity), Covered Persons may not enter into any transaction(s) that involve pledging securities of IAC and/or its publicly traded subsidiaries’ in any manner, including by purchasing securities of IAC and/or its publicly traded subsidiaries’ on margin or holding securities of IAC and/or its publicly traded subsidiaries in an account utilizing margins. This prohibition does not apply to arrangements entered into by Covered Persons before September 14, 2023.</w:t>
      </w:r>
    </w:p>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b w:val="1"/>
          <w:bCs w:val="1"/>
          <w:color w:val="auto"/>
        </w:rPr>
        <w:t>Rule 10b-5 Trading Plans</w:t>
      </w:r>
    </w:p>
    <w:p>
      <w:pPr>
        <w:spacing w:after="0" w:line="129" w:lineRule="exact"/>
        <w:rPr>
          <w:sz w:val="20"/>
          <w:szCs w:val="20"/>
          <w:color w:val="auto"/>
        </w:rPr>
      </w:pPr>
    </w:p>
    <w:p>
      <w:pPr>
        <w:ind w:left="60" w:right="160" w:firstLine="648"/>
        <w:spacing w:after="0" w:line="260" w:lineRule="auto"/>
        <w:rPr>
          <w:sz w:val="20"/>
          <w:szCs w:val="20"/>
          <w:color w:val="auto"/>
        </w:rPr>
      </w:pPr>
      <w:r>
        <w:rPr>
          <w:rFonts w:ascii="Times New Roman" w:cs="Times New Roman" w:eastAsia="Times New Roman" w:hAnsi="Times New Roman"/>
          <w:sz w:val="21"/>
          <w:szCs w:val="21"/>
          <w:color w:val="auto"/>
        </w:rPr>
        <w:t>Rule 10b5-1 of the Securities Exchange Act of 1934, as amended (“Rule 10b5-1”) provides an affirmative defense against insider trading liability, regardless of a person’s possession of material non-public information, if the relevant trade is executed pursuant to a pre- arranged, written plan satisfying the requirements of Rule 10b5-1 (a “trading plan”) that was established at a time when the person was not in possession of material non-public information. Rule 10b5-1 is a complicated rule that requires sophisticated planning and should not be relied upon without the advice of one’s own legal counsel or personal financial advisor. Trades in securities of IAC and/or its publicly traded subsidiaries that are executed pursuant to an approved trading plan are not subject to the prohibition on trading while in possession of material non- public information contained in this Policy or to the restrictions set forth herein relating to pre- clearance procedures and trading windows. In the sole discretion of IAC Legal and subject to any other limitations or restrictions that may be imposed pursuant to the Policy, applicable law and/or by IAC Legal from time to time, IAC may permit IAC Insiders (as defined below) to engage in transactions outside of trading window periods pursuant to a trading plan that has received advance written approval from IAC Legal during a trading window. Without the advance approval of IAC Legal, trading plans may not be instituted, amended or terminated (and deviations from such plans may not be made) (i) at a time when the relevant IAC Insider is in possession of any material non-public information or (ii) otherwise outside of a trading window.</w:t>
      </w:r>
    </w:p>
    <w:p>
      <w:pPr>
        <w:spacing w:after="0" w:line="199" w:lineRule="exact"/>
        <w:rPr>
          <w:sz w:val="20"/>
          <w:szCs w:val="20"/>
          <w:color w:val="auto"/>
        </w:rPr>
      </w:pPr>
    </w:p>
    <w:p>
      <w:pPr>
        <w:ind w:left="60" w:right="320" w:firstLine="648"/>
        <w:spacing w:after="0" w:line="252" w:lineRule="auto"/>
        <w:rPr>
          <w:sz w:val="20"/>
          <w:szCs w:val="20"/>
          <w:color w:val="auto"/>
        </w:rPr>
      </w:pPr>
      <w:r>
        <w:rPr>
          <w:rFonts w:ascii="Times New Roman" w:cs="Times New Roman" w:eastAsia="Times New Roman" w:hAnsi="Times New Roman"/>
          <w:sz w:val="22"/>
          <w:szCs w:val="22"/>
          <w:color w:val="auto"/>
        </w:rPr>
        <w:t>Once a trading plan is approved and adopted by an IAC Insider, such person must not exercise any influence over the number of securities to be traded, the price at which they are to be traded or the date(s) of trade(s). Trading plans covering IAC securities must include a cooling-off period before trading can commence. For IAC directors or officers, such cooling-off period must end on the later of (a) 90 days after the adoption of the trading plan or (b) two</w:t>
      </w:r>
    </w:p>
    <w:p>
      <w:pPr>
        <w:spacing w:after="0" w:line="1" w:lineRule="exact"/>
        <w:rPr>
          <w:sz w:val="20"/>
          <w:szCs w:val="20"/>
          <w:color w:val="auto"/>
        </w:rPr>
      </w:pPr>
    </w:p>
    <w:p>
      <w:pPr>
        <w:ind w:left="60" w:right="160"/>
        <w:spacing w:after="0" w:line="245" w:lineRule="auto"/>
        <w:rPr>
          <w:sz w:val="20"/>
          <w:szCs w:val="20"/>
          <w:color w:val="auto"/>
        </w:rPr>
      </w:pPr>
      <w:r>
        <w:rPr>
          <w:rFonts w:ascii="Times New Roman" w:cs="Times New Roman" w:eastAsia="Times New Roman" w:hAnsi="Times New Roman"/>
          <w:sz w:val="22"/>
          <w:szCs w:val="22"/>
          <w:color w:val="auto"/>
        </w:rPr>
        <w:t>business days following the disclosure of IAC’s financial results in a periodic report for the fiscal quarter in which the plan was adopted (but in any event, subject to a maximum of 120 days after the adoption of the trading plan). For other IAC Insiders, such cooling-off period must end no earlier than 30 days following the adoption of the trading plan. Modifications of trading plans relating to the amount, price or timing of transactions are subject to the same cooling-off periods as if a new plan was adopted. IAC Insiders may not enter into overlapping trading plans covering IAC securities (subject to certain exceptions) and may only enter into one single-trade trading plan covering IAC securities during any twelve-month period (subject to certain exceptions). In the case of trading plans covering IAC securities approved and adopted by IAC directors and officers, such plans must include a representation certifying that: (i) the relevant IAC director or</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160"/>
          </w:cols>
          <w:pgMar w:left="400" w:top="356" w:right="339" w:bottom="1440" w:gutter="0" w:footer="0" w:header="0"/>
        </w:sectPr>
      </w:pPr>
    </w:p>
    <w:bookmarkStart w:id="185" w:name="page186"/>
    <w:bookmarkEnd w:id="185"/>
    <w:p>
      <w:pPr>
        <w:jc w:val="right"/>
        <w:spacing w:after="0"/>
        <w:rPr>
          <w:sz w:val="20"/>
          <w:szCs w:val="20"/>
          <w:color w:val="auto"/>
        </w:rPr>
      </w:pPr>
      <w:r>
        <w:rPr>
          <w:rFonts w:ascii="Times New Roman" w:cs="Times New Roman" w:eastAsia="Times New Roman" w:hAnsi="Times New Roman"/>
          <w:sz w:val="20"/>
          <w:szCs w:val="20"/>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60" w:right="160"/>
        <w:spacing w:after="0" w:line="263" w:lineRule="auto"/>
        <w:rPr>
          <w:sz w:val="20"/>
          <w:szCs w:val="20"/>
          <w:color w:val="auto"/>
        </w:rPr>
      </w:pPr>
      <w:r>
        <w:rPr>
          <w:rFonts w:ascii="Times New Roman" w:cs="Times New Roman" w:eastAsia="Times New Roman" w:hAnsi="Times New Roman"/>
          <w:sz w:val="22"/>
          <w:szCs w:val="22"/>
          <w:color w:val="auto"/>
        </w:rPr>
        <w:t>officer is not aware of any material non-public information and (ii) such individual is adopting the trading plan in good faith and not as part of a plan or scheme to evade the prohibitions set forth in Rule 10b-5 of the Securities Exchange Act of 1934, as amended. All IAC Insiders entering into a trading plan must act in good faith with respect to such plan.</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b w:val="1"/>
          <w:bCs w:val="1"/>
          <w:color w:val="auto"/>
        </w:rPr>
        <w:t>Additional Procedures for IAC Insiders</w:t>
      </w:r>
    </w:p>
    <w:p>
      <w:pPr>
        <w:spacing w:after="0" w:line="112" w:lineRule="exact"/>
        <w:rPr>
          <w:sz w:val="20"/>
          <w:szCs w:val="20"/>
          <w:color w:val="auto"/>
        </w:rPr>
      </w:pPr>
    </w:p>
    <w:p>
      <w:pPr>
        <w:ind w:left="60" w:right="200" w:firstLine="648"/>
        <w:spacing w:after="0" w:line="259" w:lineRule="auto"/>
        <w:rPr>
          <w:sz w:val="20"/>
          <w:szCs w:val="20"/>
          <w:color w:val="auto"/>
        </w:rPr>
      </w:pPr>
      <w:r>
        <w:rPr>
          <w:rFonts w:ascii="Times New Roman" w:cs="Times New Roman" w:eastAsia="Times New Roman" w:hAnsi="Times New Roman"/>
          <w:sz w:val="22"/>
          <w:szCs w:val="22"/>
          <w:i w:val="1"/>
          <w:iCs w:val="1"/>
          <w:color w:val="auto"/>
        </w:rPr>
        <w:t xml:space="preserve">Overview. </w:t>
      </w:r>
      <w:r>
        <w:rPr>
          <w:rFonts w:ascii="Times New Roman" w:cs="Times New Roman" w:eastAsia="Times New Roman" w:hAnsi="Times New Roman"/>
          <w:sz w:val="22"/>
          <w:szCs w:val="22"/>
          <w:color w:val="auto"/>
        </w:rPr>
        <w:t>IAC Insiders (as defined below) are subject to additional trading restrictions by virtue of their regular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routine access to material non-public information during the course of their employment, service as a director, other service or by virtue of their involvement with a project that results in knowledge of material non-public information.</w:t>
      </w:r>
    </w:p>
    <w:p>
      <w:pPr>
        <w:spacing w:after="0" w:line="207" w:lineRule="exact"/>
        <w:rPr>
          <w:sz w:val="20"/>
          <w:szCs w:val="20"/>
          <w:color w:val="auto"/>
        </w:rPr>
      </w:pPr>
    </w:p>
    <w:p>
      <w:pPr>
        <w:ind w:left="60" w:right="440" w:firstLine="648"/>
        <w:spacing w:after="0" w:line="253" w:lineRule="auto"/>
        <w:rPr>
          <w:sz w:val="20"/>
          <w:szCs w:val="20"/>
          <w:color w:val="auto"/>
        </w:rPr>
      </w:pPr>
      <w:r>
        <w:rPr>
          <w:rFonts w:ascii="Times New Roman" w:cs="Times New Roman" w:eastAsia="Times New Roman" w:hAnsi="Times New Roman"/>
          <w:sz w:val="22"/>
          <w:szCs w:val="22"/>
          <w:i w:val="1"/>
          <w:iCs w:val="1"/>
          <w:color w:val="auto"/>
        </w:rPr>
        <w:t>Pre-Clearance</w:t>
      </w:r>
      <w:r>
        <w:rPr>
          <w:rFonts w:ascii="Times New Roman" w:cs="Times New Roman" w:eastAsia="Times New Roman" w:hAnsi="Times New Roman"/>
          <w:sz w:val="22"/>
          <w:szCs w:val="22"/>
          <w:color w:val="auto"/>
        </w:rPr>
        <w:t>. All purchases, sales, gifts and other transfers of IAC securities by IAC Insiders must be approved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advance by IAC Legal. Although IAC Legal will endeavor to clear transactions as quickly as possible, under certain circumstances, the clearance procedure may take several days. Unless notified otherwise by IAC Legal, pre-approvals shall remain valid until the close of the relevant trading window.</w:t>
      </w:r>
    </w:p>
    <w:p>
      <w:pPr>
        <w:spacing w:after="0" w:line="67" w:lineRule="exact"/>
        <w:rPr>
          <w:sz w:val="20"/>
          <w:szCs w:val="20"/>
          <w:color w:val="auto"/>
        </w:rPr>
      </w:pPr>
    </w:p>
    <w:p>
      <w:pPr>
        <w:ind w:left="60" w:right="460" w:firstLine="648"/>
        <w:spacing w:after="0" w:line="242" w:lineRule="auto"/>
        <w:rPr>
          <w:sz w:val="20"/>
          <w:szCs w:val="20"/>
          <w:color w:val="auto"/>
        </w:rPr>
      </w:pPr>
      <w:r>
        <w:rPr>
          <w:rFonts w:ascii="Times New Roman" w:cs="Times New Roman" w:eastAsia="Times New Roman" w:hAnsi="Times New Roman"/>
          <w:sz w:val="22"/>
          <w:szCs w:val="22"/>
          <w:i w:val="1"/>
          <w:iCs w:val="1"/>
          <w:color w:val="auto"/>
        </w:rPr>
        <w:t>Trading Windows</w:t>
      </w:r>
      <w:r>
        <w:rPr>
          <w:rFonts w:ascii="Times New Roman" w:cs="Times New Roman" w:eastAsia="Times New Roman" w:hAnsi="Times New Roman"/>
          <w:sz w:val="22"/>
          <w:szCs w:val="22"/>
          <w:color w:val="auto"/>
        </w:rPr>
        <w:t>. IAC Insiders will only be permitted to enter into transactions (purchases, sales, gifts or other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transfers) with respect to IAC securities during trading windows, after receiving pre-approval for the transaction from IAC Legal. Outside of a trading window, no purchases, sales, gifts or other transfers of IAC securities are permitted. Trading windows generally open at the open of the market on the second trading day following the day on which IAC publicly releases its annual or quarterly financial results and generally close on the 7</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of the third month of each fiscal quarter, unless otherwise specified by IAC Legal. It is important to remember that even during a trading window, IAC Insiders are prohibited from buying, selling, gifting or otherwise transferring IAC securities while in possession of material non- public information regarding IAC.</w:t>
      </w:r>
    </w:p>
    <w:p>
      <w:pPr>
        <w:spacing w:after="0" w:line="77" w:lineRule="exact"/>
        <w:rPr>
          <w:sz w:val="20"/>
          <w:szCs w:val="20"/>
          <w:color w:val="auto"/>
        </w:rPr>
      </w:pPr>
    </w:p>
    <w:p>
      <w:pPr>
        <w:ind w:left="60" w:right="540" w:firstLine="648"/>
        <w:spacing w:after="0" w:line="259" w:lineRule="auto"/>
        <w:rPr>
          <w:sz w:val="20"/>
          <w:szCs w:val="20"/>
          <w:color w:val="auto"/>
        </w:rPr>
      </w:pPr>
      <w:r>
        <w:rPr>
          <w:rFonts w:ascii="Times New Roman" w:cs="Times New Roman" w:eastAsia="Times New Roman" w:hAnsi="Times New Roman"/>
          <w:sz w:val="22"/>
          <w:szCs w:val="22"/>
          <w:i w:val="1"/>
          <w:iCs w:val="1"/>
          <w:color w:val="auto"/>
        </w:rPr>
        <w:t>Further Trading Restrictions</w:t>
      </w:r>
      <w:r>
        <w:rPr>
          <w:rFonts w:ascii="Times New Roman" w:cs="Times New Roman" w:eastAsia="Times New Roman" w:hAnsi="Times New Roman"/>
          <w:sz w:val="22"/>
          <w:szCs w:val="22"/>
          <w:color w:val="auto"/>
        </w:rPr>
        <w:t>. Even during a trading window, IAC Legal may restrict trading by some or all IAC</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Insiders as circumstances dictate. In such event, IAC Legal will notify affected IAC Insiders that they should not trade nor disclose to others the fact that the trading window has been closed in their case.</w:t>
      </w:r>
    </w:p>
    <w:p>
      <w:pPr>
        <w:spacing w:after="0" w:line="58" w:lineRule="exact"/>
        <w:rPr>
          <w:sz w:val="20"/>
          <w:szCs w:val="20"/>
          <w:color w:val="auto"/>
        </w:rPr>
      </w:pPr>
    </w:p>
    <w:p>
      <w:pPr>
        <w:ind w:left="60" w:right="240" w:firstLine="648"/>
        <w:spacing w:after="0" w:line="254" w:lineRule="auto"/>
        <w:rPr>
          <w:sz w:val="20"/>
          <w:szCs w:val="20"/>
          <w:color w:val="auto"/>
        </w:rPr>
      </w:pPr>
      <w:r>
        <w:rPr>
          <w:rFonts w:ascii="Times New Roman" w:cs="Times New Roman" w:eastAsia="Times New Roman" w:hAnsi="Times New Roman"/>
          <w:sz w:val="22"/>
          <w:szCs w:val="22"/>
          <w:i w:val="1"/>
          <w:iCs w:val="1"/>
          <w:color w:val="auto"/>
        </w:rPr>
        <w:t>Trading Restrictions for Securities of IAC’s Publicly Traded Subsidiaries</w:t>
      </w:r>
      <w:r>
        <w:rPr>
          <w:rFonts w:ascii="Times New Roman" w:cs="Times New Roman" w:eastAsia="Times New Roman" w:hAnsi="Times New Roman"/>
          <w:sz w:val="22"/>
          <w:szCs w:val="22"/>
          <w:color w:val="auto"/>
        </w:rPr>
        <w:t>. The trading restrictions and pre-approval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procedures described above shall also apply to transactions in securities of IAC’s publicly traded subsidiaries by IAC Insiders who have access (regular, routine or one time) to material non-public information of the relevant entity by virtue of their employment, service as a director, other service or their involvement with a special project. IAC Legal will notify any IAC Insiders subject to these additional restrictions directly.</w:t>
      </w:r>
    </w:p>
    <w:p>
      <w:pPr>
        <w:spacing w:after="0" w:line="6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i w:val="1"/>
          <w:iCs w:val="1"/>
          <w:color w:val="auto"/>
        </w:rPr>
        <w:t>Definition of IAC Insiders</w:t>
      </w:r>
      <w:r>
        <w:rPr>
          <w:rFonts w:ascii="Times New Roman" w:cs="Times New Roman" w:eastAsia="Times New Roman" w:hAnsi="Times New Roman"/>
          <w:sz w:val="22"/>
          <w:szCs w:val="22"/>
          <w:color w:val="auto"/>
        </w:rPr>
        <w:t>. For purposes of the Policy, the term “IAC Insiders” means:</w:t>
      </w:r>
    </w:p>
    <w:p>
      <w:pPr>
        <w:spacing w:after="0" w:line="129" w:lineRule="exact"/>
        <w:rPr>
          <w:sz w:val="20"/>
          <w:szCs w:val="20"/>
          <w:color w:val="auto"/>
        </w:rPr>
      </w:pPr>
    </w:p>
    <w:p>
      <w:pPr>
        <w:ind w:left="1020" w:hanging="318"/>
        <w:spacing w:after="0"/>
        <w:tabs>
          <w:tab w:leader="none" w:pos="102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members of the IAC Board of Directors;</w:t>
      </w:r>
    </w:p>
    <w:p>
      <w:pPr>
        <w:spacing w:after="0" w:line="27" w:lineRule="exact"/>
        <w:rPr>
          <w:rFonts w:ascii="Times New Roman" w:cs="Times New Roman" w:eastAsia="Times New Roman" w:hAnsi="Times New Roman"/>
          <w:sz w:val="22"/>
          <w:szCs w:val="22"/>
          <w:color w:val="auto"/>
        </w:rPr>
      </w:pPr>
    </w:p>
    <w:p>
      <w:pPr>
        <w:ind w:left="1020" w:hanging="318"/>
        <w:spacing w:after="0"/>
        <w:tabs>
          <w:tab w:leader="none" w:pos="102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IAC executive officers;</w:t>
      </w:r>
    </w:p>
    <w:p>
      <w:pPr>
        <w:spacing w:after="0" w:line="5" w:lineRule="exact"/>
        <w:rPr>
          <w:rFonts w:ascii="Times New Roman" w:cs="Times New Roman" w:eastAsia="Times New Roman" w:hAnsi="Times New Roman"/>
          <w:sz w:val="22"/>
          <w:szCs w:val="22"/>
          <w:color w:val="auto"/>
        </w:rPr>
      </w:pPr>
    </w:p>
    <w:p>
      <w:pPr>
        <w:ind w:left="1020" w:hanging="318"/>
        <w:spacing w:after="0"/>
        <w:tabs>
          <w:tab w:leader="none" w:pos="102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IAC Corporate employees;</w:t>
      </w:r>
    </w:p>
    <w:p>
      <w:pPr>
        <w:spacing w:after="0" w:line="15" w:lineRule="exact"/>
        <w:rPr>
          <w:rFonts w:ascii="Times New Roman" w:cs="Times New Roman" w:eastAsia="Times New Roman" w:hAnsi="Times New Roman"/>
          <w:sz w:val="22"/>
          <w:szCs w:val="22"/>
          <w:color w:val="auto"/>
        </w:rPr>
      </w:pPr>
    </w:p>
    <w:p>
      <w:pPr>
        <w:ind w:left="1020" w:hanging="318"/>
        <w:spacing w:after="0"/>
        <w:tabs>
          <w:tab w:leader="none" w:pos="102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principal executive, financial, accounting, operating and legal officers of IAC businesses; and</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160"/>
          </w:cols>
          <w:pgMar w:left="400" w:top="356" w:right="339" w:bottom="1440" w:gutter="0" w:footer="0" w:header="0"/>
        </w:sectPr>
      </w:pPr>
    </w:p>
    <w:bookmarkStart w:id="186" w:name="page187"/>
    <w:bookmarkEnd w:id="186"/>
    <w:p>
      <w:pPr>
        <w:jc w:val="right"/>
        <w:spacing w:after="0"/>
        <w:rPr>
          <w:sz w:val="20"/>
          <w:szCs w:val="20"/>
          <w:color w:val="auto"/>
        </w:rPr>
      </w:pPr>
      <w:r>
        <w:rPr>
          <w:rFonts w:ascii="Times New Roman" w:cs="Times New Roman" w:eastAsia="Times New Roman" w:hAnsi="Times New Roman"/>
          <w:sz w:val="20"/>
          <w:szCs w:val="20"/>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020" w:right="860" w:hanging="318"/>
        <w:spacing w:after="0" w:line="271" w:lineRule="auto"/>
        <w:tabs>
          <w:tab w:leader="none" w:pos="1014"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Covered Person who is advised by or on behalf of IAC Legal that such Covered Person is an IAC Insider from time to time.</w:t>
      </w:r>
    </w:p>
    <w:p>
      <w:pPr>
        <w:spacing w:after="0" w:line="23" w:lineRule="exact"/>
        <w:rPr>
          <w:sz w:val="20"/>
          <w:szCs w:val="20"/>
          <w:color w:val="auto"/>
        </w:rPr>
      </w:pPr>
    </w:p>
    <w:p>
      <w:pPr>
        <w:ind w:left="60" w:right="200" w:firstLine="648"/>
        <w:spacing w:after="0" w:line="251" w:lineRule="auto"/>
        <w:rPr>
          <w:sz w:val="20"/>
          <w:szCs w:val="20"/>
          <w:color w:val="auto"/>
        </w:rPr>
      </w:pPr>
      <w:r>
        <w:rPr>
          <w:rFonts w:ascii="Times New Roman" w:cs="Times New Roman" w:eastAsia="Times New Roman" w:hAnsi="Times New Roman"/>
          <w:sz w:val="22"/>
          <w:szCs w:val="22"/>
          <w:color w:val="auto"/>
        </w:rPr>
        <w:t>The IAC Insiders listed immediately above shall: (i) make their respective Affiliated Persons and Entities (who shall also be deemed to be IAC Insiders for purposes of this Policy) aware of the need to confer with them before trading in securities of IAC and/or its publicly traded subsidiaries, (ii) treat all transactions in securities of IAC and/or its publicly traded subsidiaries by their respective Affiliated Persons and Entities as if they were for their own respective accounts and (iii) if any of their respective Affiliated Persons or Entities wishes to buy, sell, gift or otherwise transfer securities of IAC and/or its publicly traded subsidiaries, obtain approval on their behalf in advance from IAC Legal.</w:t>
      </w:r>
    </w:p>
    <w:p>
      <w:pPr>
        <w:spacing w:after="0" w:line="31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auto"/>
        </w:rPr>
        <w:t>The names of IAC Insiders shall be maintained on a list kept by IAC Legal from time to</w:t>
      </w:r>
    </w:p>
    <w:p>
      <w:pPr>
        <w:spacing w:after="0" w:line="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time.</w:t>
      </w:r>
    </w:p>
    <w:p>
      <w:pPr>
        <w:spacing w:after="0" w:line="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b w:val="1"/>
          <w:bCs w:val="1"/>
          <w:color w:val="auto"/>
        </w:rPr>
        <w:t>Individual Responsibility</w:t>
      </w:r>
    </w:p>
    <w:p>
      <w:pPr>
        <w:spacing w:after="0" w:line="129" w:lineRule="exact"/>
        <w:rPr>
          <w:sz w:val="20"/>
          <w:szCs w:val="20"/>
          <w:color w:val="auto"/>
        </w:rPr>
      </w:pPr>
    </w:p>
    <w:p>
      <w:pPr>
        <w:ind w:left="60" w:right="300" w:firstLine="648"/>
        <w:spacing w:after="0" w:line="249" w:lineRule="auto"/>
        <w:rPr>
          <w:sz w:val="20"/>
          <w:szCs w:val="20"/>
          <w:color w:val="auto"/>
        </w:rPr>
      </w:pPr>
      <w:r>
        <w:rPr>
          <w:rFonts w:ascii="Times New Roman" w:cs="Times New Roman" w:eastAsia="Times New Roman" w:hAnsi="Times New Roman"/>
          <w:sz w:val="22"/>
          <w:szCs w:val="22"/>
          <w:color w:val="auto"/>
        </w:rPr>
        <w:t>Covered Persons have ethical and legal obligations to maintain the confidentiality of information about IAC and its subsidiaries and/or any other company which Covered Persons came into possession of in the course of providing services to IAC or its subsidiaries and to not engage in transactions in securities of such entities while in possession of material non-public information. Each director, officer, employee, contractor and consultant of IAC and its subsidiaries is responsible for making sure that they and their Affiliated Persons and Entities comply with this Policy. In all cases, the responsibility for determining whether a person is in possession of material non-public information rests with that person, and any action on the part of IAC, IAC Legal or any other IAC employee pursuant to this Policy (or otherwise) does not in any way constitute legal advice or insulate any person from liability under applicable securities laws.</w:t>
      </w:r>
    </w:p>
    <w:p>
      <w:pPr>
        <w:spacing w:after="0" w:line="7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b w:val="1"/>
          <w:bCs w:val="1"/>
          <w:color w:val="auto"/>
        </w:rPr>
        <w:t>Post-Termination Transactions</w:t>
      </w:r>
    </w:p>
    <w:p>
      <w:pPr>
        <w:spacing w:after="0" w:line="116" w:lineRule="exact"/>
        <w:rPr>
          <w:sz w:val="20"/>
          <w:szCs w:val="20"/>
          <w:color w:val="auto"/>
        </w:rPr>
      </w:pPr>
    </w:p>
    <w:p>
      <w:pPr>
        <w:ind w:left="60" w:right="200" w:firstLine="648"/>
        <w:spacing w:after="0" w:line="251" w:lineRule="auto"/>
        <w:rPr>
          <w:sz w:val="20"/>
          <w:szCs w:val="20"/>
          <w:color w:val="auto"/>
        </w:rPr>
      </w:pPr>
      <w:r>
        <w:rPr>
          <w:rFonts w:ascii="Times New Roman" w:cs="Times New Roman" w:eastAsia="Times New Roman" w:hAnsi="Times New Roman"/>
          <w:sz w:val="22"/>
          <w:szCs w:val="22"/>
          <w:color w:val="auto"/>
        </w:rPr>
        <w:t>Upon a termination of service as a director, officer, employee, contractor or consultant, the relevant individual and their Affiliated Persons and Entities will no longer be subject to this Policy. However, such persons will continue to be subject to the restrictions on securities trading contained in the securities laws and (if applicable) to IAC’s policy regarding the safeguarding of confidential information. Notwithstanding the foregoing, in the case of IAC Insiders, such persons may not trade in securities of IAC and/or its publicly traded subsidiaries until the opening of the first trading window following their termination of service.</w:t>
      </w:r>
    </w:p>
    <w:p>
      <w:pPr>
        <w:spacing w:after="0" w:line="2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b w:val="1"/>
          <w:bCs w:val="1"/>
          <w:color w:val="auto"/>
        </w:rPr>
        <w:t>Penalties for Insider Trading and Other Violations</w:t>
      </w:r>
    </w:p>
    <w:p>
      <w:pPr>
        <w:spacing w:after="0" w:line="129" w:lineRule="exact"/>
        <w:rPr>
          <w:sz w:val="20"/>
          <w:szCs w:val="20"/>
          <w:color w:val="auto"/>
        </w:rPr>
      </w:pPr>
    </w:p>
    <w:p>
      <w:pPr>
        <w:ind w:left="60" w:right="180" w:firstLine="648"/>
        <w:spacing w:after="0" w:line="250" w:lineRule="auto"/>
        <w:rPr>
          <w:sz w:val="20"/>
          <w:szCs w:val="20"/>
          <w:color w:val="auto"/>
        </w:rPr>
      </w:pPr>
      <w:r>
        <w:rPr>
          <w:rFonts w:ascii="Times New Roman" w:cs="Times New Roman" w:eastAsia="Times New Roman" w:hAnsi="Times New Roman"/>
          <w:sz w:val="22"/>
          <w:szCs w:val="22"/>
          <w:color w:val="auto"/>
        </w:rPr>
        <w:t>Penalties for trading on (or communicating) material non-public information are severe and may be applied against the Covered Person and/or other individuals involved in unlawful conduct, as well as against IAC and/or its affiliates (including controlling persons). Covered Persons and/or other individuals can be subject to some or all of the following penalties, even if they do not personally benefit from the violation. Penalties include: (i) civil injunctions, (ii) disgorgement of profits, (iii) jail sentences and (iv) fines.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160"/>
          </w:cols>
          <w:pgMar w:left="400" w:top="356" w:right="339" w:bottom="1440" w:gutter="0" w:footer="0" w:header="0"/>
        </w:sectPr>
      </w:pPr>
    </w:p>
    <w:bookmarkStart w:id="187" w:name="page188"/>
    <w:bookmarkEnd w:id="187"/>
    <w:p>
      <w:pPr>
        <w:jc w:val="right"/>
        <w:spacing w:after="0"/>
        <w:rPr>
          <w:sz w:val="20"/>
          <w:szCs w:val="20"/>
          <w:color w:val="auto"/>
        </w:rPr>
      </w:pPr>
      <w:r>
        <w:rPr>
          <w:rFonts w:ascii="Times New Roman" w:cs="Times New Roman" w:eastAsia="Times New Roman" w:hAnsi="Times New Roman"/>
          <w:sz w:val="20"/>
          <w:szCs w:val="20"/>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right="200" w:firstLine="648"/>
        <w:spacing w:after="0" w:line="252" w:lineRule="auto"/>
        <w:rPr>
          <w:sz w:val="20"/>
          <w:szCs w:val="20"/>
          <w:color w:val="auto"/>
        </w:rPr>
      </w:pPr>
      <w:r>
        <w:rPr>
          <w:rFonts w:ascii="Times New Roman" w:cs="Times New Roman" w:eastAsia="Times New Roman" w:hAnsi="Times New Roman"/>
          <w:sz w:val="22"/>
          <w:szCs w:val="22"/>
          <w:color w:val="auto"/>
        </w:rPr>
        <w:t>Covered Persons should be aware that the Company may initiate or cooperate in proceedings resulting in such penalties. In addition, any violation of this Policy can be expected to result in serious sanctions by IAC, including dismissal, suspension without pay, loss of pay or bonus, loss of benefits, demotion and/or other sanctions, whether or not the violation of the Policy and/or any other IAC policy or procedure also constitutes a violation of law.</w:t>
      </w:r>
    </w:p>
    <w:p>
      <w:pPr>
        <w:spacing w:after="0" w:line="3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b w:val="1"/>
          <w:bCs w:val="1"/>
          <w:color w:val="auto"/>
        </w:rPr>
        <w:t>Questions</w:t>
      </w:r>
    </w:p>
    <w:p>
      <w:pPr>
        <w:spacing w:after="0" w:line="11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1"/>
          <w:szCs w:val="21"/>
          <w:color w:val="auto"/>
        </w:rPr>
        <w:t>Please contact IAC Legal directly with any questions regarding a particular securities transaction or the Policy generally.</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160"/>
          </w:cols>
          <w:pgMar w:left="400" w:top="356" w:right="339" w:bottom="1440" w:gutter="0" w:footer="0" w:header="0"/>
        </w:sectPr>
      </w:pPr>
    </w:p>
    <w:bookmarkStart w:id="188" w:name="page189"/>
    <w:bookmarkEnd w:id="188"/>
    <w:tbl>
      <w:tblPr>
        <w:tblLayout w:type="fixed"/>
        <w:tblInd w:w="0" w:type="dxa"/>
        <w:tblCellMar>
          <w:top w:w="0" w:type="dxa"/>
          <w:left w:w="0" w:type="dxa"/>
          <w:bottom w:w="0" w:type="dxa"/>
          <w:right w:w="0" w:type="dxa"/>
        </w:tblCellMar>
      </w:tblPr>
      <w:tr>
        <w:trPr>
          <w:trHeight w:val="238"/>
        </w:trPr>
        <w:tc>
          <w:tcPr>
            <w:tcW w:w="404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40" w:type="dxa"/>
            <w:vAlign w:val="bottom"/>
          </w:tcPr>
          <w:p>
            <w:pPr>
              <w:ind w:left="2160"/>
              <w:spacing w:after="0"/>
              <w:rPr>
                <w:sz w:val="20"/>
                <w:szCs w:val="20"/>
                <w:color w:val="auto"/>
              </w:rPr>
            </w:pPr>
            <w:r>
              <w:rPr>
                <w:rFonts w:ascii="Times New Roman" w:cs="Times New Roman" w:eastAsia="Times New Roman" w:hAnsi="Times New Roman"/>
                <w:sz w:val="18"/>
                <w:szCs w:val="18"/>
                <w:b w:val="1"/>
                <w:bCs w:val="1"/>
                <w:color w:val="auto"/>
              </w:rPr>
              <w:t>Exhibit 21.1</w:t>
            </w:r>
          </w:p>
        </w:tc>
      </w:tr>
      <w:tr>
        <w:trPr>
          <w:trHeight w:val="1026"/>
        </w:trPr>
        <w:tc>
          <w:tcPr>
            <w:tcW w:w="4040" w:type="dxa"/>
            <w:vAlign w:val="bottom"/>
          </w:tcPr>
          <w:p>
            <w:pPr>
              <w:spacing w:after="0"/>
              <w:rPr>
                <w:sz w:val="24"/>
                <w:szCs w:val="24"/>
                <w:color w:val="auto"/>
              </w:rPr>
            </w:pPr>
          </w:p>
        </w:tc>
        <w:tc>
          <w:tcPr>
            <w:tcW w:w="7200" w:type="dxa"/>
            <w:vAlign w:val="bottom"/>
            <w:gridSpan w:val="3"/>
          </w:tcPr>
          <w:p>
            <w:pPr>
              <w:jc w:val="center"/>
              <w:ind w:right="3921"/>
              <w:spacing w:after="0"/>
              <w:rPr>
                <w:sz w:val="20"/>
                <w:szCs w:val="20"/>
                <w:color w:val="auto"/>
              </w:rPr>
            </w:pPr>
            <w:r>
              <w:rPr>
                <w:rFonts w:ascii="Times New Roman" w:cs="Times New Roman" w:eastAsia="Times New Roman" w:hAnsi="Times New Roman"/>
                <w:sz w:val="20"/>
                <w:szCs w:val="20"/>
                <w:b w:val="1"/>
                <w:bCs w:val="1"/>
                <w:color w:val="auto"/>
                <w:w w:val="98"/>
              </w:rPr>
              <w:t>IAC Inc. Subsidiaries</w:t>
            </w:r>
          </w:p>
        </w:tc>
      </w:tr>
      <w:tr>
        <w:trPr>
          <w:trHeight w:val="262"/>
        </w:trPr>
        <w:tc>
          <w:tcPr>
            <w:tcW w:w="4040" w:type="dxa"/>
            <w:vAlign w:val="bottom"/>
          </w:tcPr>
          <w:p>
            <w:pPr>
              <w:spacing w:after="0"/>
              <w:rPr>
                <w:sz w:val="22"/>
                <w:szCs w:val="22"/>
                <w:color w:val="auto"/>
              </w:rPr>
            </w:pPr>
          </w:p>
        </w:tc>
        <w:tc>
          <w:tcPr>
            <w:tcW w:w="7200" w:type="dxa"/>
            <w:vAlign w:val="bottom"/>
            <w:gridSpan w:val="3"/>
          </w:tcPr>
          <w:p>
            <w:pPr>
              <w:jc w:val="center"/>
              <w:ind w:right="3941"/>
              <w:spacing w:after="0"/>
              <w:rPr>
                <w:sz w:val="20"/>
                <w:szCs w:val="20"/>
                <w:color w:val="auto"/>
              </w:rPr>
            </w:pPr>
            <w:r>
              <w:rPr>
                <w:rFonts w:ascii="Times New Roman" w:cs="Times New Roman" w:eastAsia="Times New Roman" w:hAnsi="Times New Roman"/>
                <w:sz w:val="20"/>
                <w:szCs w:val="20"/>
                <w:b w:val="1"/>
                <w:bCs w:val="1"/>
                <w:color w:val="auto"/>
                <w:w w:val="98"/>
              </w:rPr>
              <w:t>As of December 31, 2024</w:t>
            </w:r>
          </w:p>
        </w:tc>
      </w:tr>
      <w:tr>
        <w:trPr>
          <w:trHeight w:val="773"/>
        </w:trPr>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Entity</w:t>
            </w:r>
          </w:p>
        </w:tc>
        <w:tc>
          <w:tcPr>
            <w:tcW w:w="3240" w:type="dxa"/>
            <w:vAlign w:val="bottom"/>
            <w:tcBorders>
              <w:bottom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3440" w:type="dxa"/>
            <w:vAlign w:val="bottom"/>
            <w:tcBorders>
              <w:bottom w:val="single" w:sz="8" w:color="auto"/>
            </w:tcBorders>
          </w:tcPr>
          <w:p>
            <w:pPr>
              <w:jc w:val="center"/>
              <w:ind w:right="321"/>
              <w:spacing w:after="0"/>
              <w:rPr>
                <w:sz w:val="20"/>
                <w:szCs w:val="20"/>
                <w:color w:val="auto"/>
              </w:rPr>
            </w:pPr>
            <w:r>
              <w:rPr>
                <w:rFonts w:ascii="Times New Roman" w:cs="Times New Roman" w:eastAsia="Times New Roman" w:hAnsi="Times New Roman"/>
                <w:sz w:val="20"/>
                <w:szCs w:val="20"/>
                <w:b w:val="1"/>
                <w:bCs w:val="1"/>
                <w:color w:val="auto"/>
                <w:w w:val="99"/>
              </w:rPr>
              <w:t>Jurisdiction of Formation</w:t>
            </w:r>
          </w:p>
        </w:tc>
      </w:tr>
      <w:tr>
        <w:trPr>
          <w:trHeight w:val="460"/>
        </w:trPr>
        <w:tc>
          <w:tcPr>
            <w:tcW w:w="40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24apps GmbH</w:t>
            </w:r>
          </w:p>
        </w:tc>
        <w:tc>
          <w:tcPr>
            <w:tcW w:w="3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40" w:type="dxa"/>
            <w:vAlign w:val="bottom"/>
          </w:tcPr>
          <w:p>
            <w:pPr>
              <w:jc w:val="center"/>
              <w:ind w:right="321"/>
              <w:spacing w:after="0"/>
              <w:rPr>
                <w:sz w:val="20"/>
                <w:szCs w:val="20"/>
                <w:color w:val="auto"/>
              </w:rPr>
            </w:pPr>
            <w:r>
              <w:rPr>
                <w:rFonts w:ascii="Times New Roman" w:cs="Times New Roman" w:eastAsia="Times New Roman" w:hAnsi="Times New Roman"/>
                <w:sz w:val="20"/>
                <w:szCs w:val="20"/>
                <w:color w:val="auto"/>
                <w:w w:val="98"/>
              </w:rPr>
              <w:t>Austria</w:t>
            </w:r>
          </w:p>
        </w:tc>
      </w:tr>
      <w:tr>
        <w:trPr>
          <w:trHeight w:val="272"/>
        </w:trPr>
        <w:tc>
          <w:tcPr>
            <w:tcW w:w="40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AB Licensing, L.L.C.</w:t>
            </w:r>
          </w:p>
        </w:tc>
        <w:tc>
          <w:tcPr>
            <w:tcW w:w="32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440" w:type="dxa"/>
            <w:vAlign w:val="bottom"/>
          </w:tcPr>
          <w:p>
            <w:pPr>
              <w:jc w:val="center"/>
              <w:ind w:right="32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82"/>
        </w:trPr>
        <w:tc>
          <w:tcPr>
            <w:tcW w:w="40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About Dotdash UK Limited</w:t>
            </w:r>
          </w:p>
        </w:tc>
        <w:tc>
          <w:tcPr>
            <w:tcW w:w="3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40" w:type="dxa"/>
            <w:vAlign w:val="bottom"/>
          </w:tcPr>
          <w:p>
            <w:pPr>
              <w:jc w:val="center"/>
              <w:ind w:right="321"/>
              <w:spacing w:after="0"/>
              <w:rPr>
                <w:sz w:val="20"/>
                <w:szCs w:val="20"/>
                <w:color w:val="auto"/>
              </w:rPr>
            </w:pPr>
            <w:r>
              <w:rPr>
                <w:rFonts w:ascii="Times New Roman" w:cs="Times New Roman" w:eastAsia="Times New Roman" w:hAnsi="Times New Roman"/>
                <w:sz w:val="20"/>
                <w:szCs w:val="20"/>
                <w:color w:val="auto"/>
                <w:w w:val="98"/>
              </w:rPr>
              <w:t>England and Wales</w:t>
            </w:r>
          </w:p>
        </w:tc>
      </w:tr>
      <w:tr>
        <w:trPr>
          <w:trHeight w:val="257"/>
        </w:trPr>
        <w:tc>
          <w:tcPr>
            <w:tcW w:w="40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About Insurance Solutions, LLC</w:t>
            </w:r>
          </w:p>
        </w:tc>
        <w:tc>
          <w:tcPr>
            <w:tcW w:w="3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40" w:type="dxa"/>
            <w:vAlign w:val="bottom"/>
          </w:tcPr>
          <w:p>
            <w:pPr>
              <w:jc w:val="center"/>
              <w:ind w:right="32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56"/>
        </w:trPr>
        <w:tc>
          <w:tcPr>
            <w:tcW w:w="40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Accellab, LLC</w:t>
            </w:r>
          </w:p>
        </w:tc>
        <w:tc>
          <w:tcPr>
            <w:tcW w:w="3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40" w:type="dxa"/>
            <w:vAlign w:val="bottom"/>
          </w:tcPr>
          <w:p>
            <w:pPr>
              <w:jc w:val="center"/>
              <w:ind w:right="32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72"/>
        </w:trPr>
        <w:tc>
          <w:tcPr>
            <w:tcW w:w="40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Allrecipes.com, Inc.</w:t>
            </w:r>
          </w:p>
        </w:tc>
        <w:tc>
          <w:tcPr>
            <w:tcW w:w="32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440" w:type="dxa"/>
            <w:vAlign w:val="bottom"/>
          </w:tcPr>
          <w:p>
            <w:pPr>
              <w:jc w:val="center"/>
              <w:ind w:right="321"/>
              <w:spacing w:after="0"/>
              <w:rPr>
                <w:sz w:val="20"/>
                <w:szCs w:val="20"/>
                <w:color w:val="auto"/>
              </w:rPr>
            </w:pPr>
            <w:r>
              <w:rPr>
                <w:rFonts w:ascii="Times New Roman" w:cs="Times New Roman" w:eastAsia="Times New Roman" w:hAnsi="Times New Roman"/>
                <w:sz w:val="20"/>
                <w:szCs w:val="20"/>
                <w:color w:val="auto"/>
                <w:w w:val="97"/>
              </w:rPr>
              <w:t>Washington</w:t>
            </w:r>
          </w:p>
        </w:tc>
      </w:tr>
      <w:tr>
        <w:trPr>
          <w:trHeight w:val="282"/>
        </w:trPr>
        <w:tc>
          <w:tcPr>
            <w:tcW w:w="40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Angi Contracting LLC</w:t>
            </w:r>
          </w:p>
        </w:tc>
        <w:tc>
          <w:tcPr>
            <w:tcW w:w="3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40" w:type="dxa"/>
            <w:vAlign w:val="bottom"/>
          </w:tcPr>
          <w:p>
            <w:pPr>
              <w:jc w:val="center"/>
              <w:ind w:right="32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56"/>
        </w:trPr>
        <w:tc>
          <w:tcPr>
            <w:tcW w:w="40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ANGI Group, LLC</w:t>
            </w:r>
          </w:p>
        </w:tc>
        <w:tc>
          <w:tcPr>
            <w:tcW w:w="3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40" w:type="dxa"/>
            <w:vAlign w:val="bottom"/>
          </w:tcPr>
          <w:p>
            <w:pPr>
              <w:jc w:val="center"/>
              <w:ind w:right="32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57"/>
        </w:trPr>
        <w:tc>
          <w:tcPr>
            <w:tcW w:w="40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Angi Inc.</w:t>
            </w:r>
          </w:p>
        </w:tc>
        <w:tc>
          <w:tcPr>
            <w:tcW w:w="3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40" w:type="dxa"/>
            <w:vAlign w:val="bottom"/>
          </w:tcPr>
          <w:p>
            <w:pPr>
              <w:jc w:val="center"/>
              <w:ind w:right="32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57"/>
        </w:trPr>
        <w:tc>
          <w:tcPr>
            <w:tcW w:w="40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Angie’s List, Inc.</w:t>
            </w:r>
          </w:p>
        </w:tc>
        <w:tc>
          <w:tcPr>
            <w:tcW w:w="3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40" w:type="dxa"/>
            <w:vAlign w:val="bottom"/>
          </w:tcPr>
          <w:p>
            <w:pPr>
              <w:jc w:val="center"/>
              <w:ind w:right="32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57"/>
        </w:trPr>
        <w:tc>
          <w:tcPr>
            <w:tcW w:w="40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Apalon Apps LLC</w:t>
            </w:r>
          </w:p>
        </w:tc>
        <w:tc>
          <w:tcPr>
            <w:tcW w:w="3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40" w:type="dxa"/>
            <w:vAlign w:val="bottom"/>
          </w:tcPr>
          <w:p>
            <w:pPr>
              <w:jc w:val="center"/>
              <w:ind w:right="321"/>
              <w:spacing w:after="0"/>
              <w:rPr>
                <w:sz w:val="20"/>
                <w:szCs w:val="20"/>
                <w:color w:val="auto"/>
              </w:rPr>
            </w:pPr>
            <w:r>
              <w:rPr>
                <w:rFonts w:ascii="Times New Roman" w:cs="Times New Roman" w:eastAsia="Times New Roman" w:hAnsi="Times New Roman"/>
                <w:sz w:val="20"/>
                <w:szCs w:val="20"/>
                <w:color w:val="auto"/>
                <w:w w:val="98"/>
              </w:rPr>
              <w:t>Republic of Belarus</w:t>
            </w:r>
          </w:p>
        </w:tc>
      </w:tr>
      <w:tr>
        <w:trPr>
          <w:trHeight w:val="257"/>
        </w:trPr>
        <w:tc>
          <w:tcPr>
            <w:tcW w:w="40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Apalon LT UAB</w:t>
            </w:r>
          </w:p>
        </w:tc>
        <w:tc>
          <w:tcPr>
            <w:tcW w:w="3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40" w:type="dxa"/>
            <w:vAlign w:val="bottom"/>
          </w:tcPr>
          <w:p>
            <w:pPr>
              <w:jc w:val="center"/>
              <w:ind w:right="321"/>
              <w:spacing w:after="0"/>
              <w:rPr>
                <w:sz w:val="20"/>
                <w:szCs w:val="20"/>
                <w:color w:val="auto"/>
              </w:rPr>
            </w:pPr>
            <w:r>
              <w:rPr>
                <w:rFonts w:ascii="Times New Roman" w:cs="Times New Roman" w:eastAsia="Times New Roman" w:hAnsi="Times New Roman"/>
                <w:sz w:val="20"/>
                <w:szCs w:val="20"/>
                <w:color w:val="auto"/>
                <w:w w:val="96"/>
              </w:rPr>
              <w:t>Lithuania</w:t>
            </w:r>
          </w:p>
        </w:tc>
      </w:tr>
      <w:tr>
        <w:trPr>
          <w:trHeight w:val="256"/>
        </w:trPr>
        <w:tc>
          <w:tcPr>
            <w:tcW w:w="40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Apalon, LLC</w:t>
            </w:r>
          </w:p>
        </w:tc>
        <w:tc>
          <w:tcPr>
            <w:tcW w:w="3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40" w:type="dxa"/>
            <w:vAlign w:val="bottom"/>
          </w:tcPr>
          <w:p>
            <w:pPr>
              <w:jc w:val="center"/>
              <w:ind w:right="32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57"/>
        </w:trPr>
        <w:tc>
          <w:tcPr>
            <w:tcW w:w="40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APN, LLC</w:t>
            </w:r>
          </w:p>
        </w:tc>
        <w:tc>
          <w:tcPr>
            <w:tcW w:w="3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40" w:type="dxa"/>
            <w:vAlign w:val="bottom"/>
          </w:tcPr>
          <w:p>
            <w:pPr>
              <w:jc w:val="center"/>
              <w:ind w:right="32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57"/>
        </w:trPr>
        <w:tc>
          <w:tcPr>
            <w:tcW w:w="40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Ask Applications, Inc.</w:t>
            </w:r>
          </w:p>
        </w:tc>
        <w:tc>
          <w:tcPr>
            <w:tcW w:w="3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40" w:type="dxa"/>
            <w:vAlign w:val="bottom"/>
          </w:tcPr>
          <w:p>
            <w:pPr>
              <w:jc w:val="center"/>
              <w:ind w:right="32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56"/>
        </w:trPr>
        <w:tc>
          <w:tcPr>
            <w:tcW w:w="40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Ask Media Group, LLC</w:t>
            </w:r>
          </w:p>
        </w:tc>
        <w:tc>
          <w:tcPr>
            <w:tcW w:w="3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40" w:type="dxa"/>
            <w:vAlign w:val="bottom"/>
          </w:tcPr>
          <w:p>
            <w:pPr>
              <w:jc w:val="center"/>
              <w:ind w:right="32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72"/>
        </w:trPr>
        <w:tc>
          <w:tcPr>
            <w:tcW w:w="40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Big Communications, L.L.C.</w:t>
            </w:r>
          </w:p>
        </w:tc>
        <w:tc>
          <w:tcPr>
            <w:tcW w:w="32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440" w:type="dxa"/>
            <w:vAlign w:val="bottom"/>
          </w:tcPr>
          <w:p>
            <w:pPr>
              <w:jc w:val="center"/>
              <w:ind w:right="321"/>
              <w:spacing w:after="0"/>
              <w:rPr>
                <w:sz w:val="20"/>
                <w:szCs w:val="20"/>
                <w:color w:val="auto"/>
              </w:rPr>
            </w:pPr>
            <w:r>
              <w:rPr>
                <w:rFonts w:ascii="Times New Roman" w:cs="Times New Roman" w:eastAsia="Times New Roman" w:hAnsi="Times New Roman"/>
                <w:sz w:val="20"/>
                <w:szCs w:val="20"/>
                <w:color w:val="auto"/>
                <w:w w:val="94"/>
              </w:rPr>
              <w:t>Iowa</w:t>
            </w:r>
          </w:p>
        </w:tc>
      </w:tr>
      <w:tr>
        <w:trPr>
          <w:trHeight w:val="297"/>
        </w:trPr>
        <w:tc>
          <w:tcPr>
            <w:tcW w:w="40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Bizrate Insights Inc.</w:t>
            </w:r>
          </w:p>
        </w:tc>
        <w:tc>
          <w:tcPr>
            <w:tcW w:w="3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40" w:type="dxa"/>
            <w:vAlign w:val="bottom"/>
          </w:tcPr>
          <w:p>
            <w:pPr>
              <w:jc w:val="center"/>
              <w:ind w:right="32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97"/>
        </w:trPr>
        <w:tc>
          <w:tcPr>
            <w:tcW w:w="40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Book-Of-The-Month Club, LLC</w:t>
            </w:r>
          </w:p>
        </w:tc>
        <w:tc>
          <w:tcPr>
            <w:tcW w:w="3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40" w:type="dxa"/>
            <w:vAlign w:val="bottom"/>
          </w:tcPr>
          <w:p>
            <w:pPr>
              <w:jc w:val="center"/>
              <w:ind w:right="32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82"/>
        </w:trPr>
        <w:tc>
          <w:tcPr>
            <w:tcW w:w="40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Breedlove &amp; Associates, L.L.C.</w:t>
            </w:r>
          </w:p>
        </w:tc>
        <w:tc>
          <w:tcPr>
            <w:tcW w:w="3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40" w:type="dxa"/>
            <w:vAlign w:val="bottom"/>
          </w:tcPr>
          <w:p>
            <w:pPr>
              <w:jc w:val="center"/>
              <w:ind w:right="321"/>
              <w:spacing w:after="0"/>
              <w:rPr>
                <w:sz w:val="20"/>
                <w:szCs w:val="20"/>
                <w:color w:val="auto"/>
              </w:rPr>
            </w:pPr>
            <w:r>
              <w:rPr>
                <w:rFonts w:ascii="Times New Roman" w:cs="Times New Roman" w:eastAsia="Times New Roman" w:hAnsi="Times New Roman"/>
                <w:sz w:val="20"/>
                <w:szCs w:val="20"/>
                <w:color w:val="auto"/>
                <w:w w:val="96"/>
              </w:rPr>
              <w:t>Texas</w:t>
            </w:r>
          </w:p>
        </w:tc>
      </w:tr>
      <w:tr>
        <w:trPr>
          <w:trHeight w:val="272"/>
        </w:trPr>
        <w:tc>
          <w:tcPr>
            <w:tcW w:w="40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Business 2.0 Media, LLC</w:t>
            </w:r>
          </w:p>
        </w:tc>
        <w:tc>
          <w:tcPr>
            <w:tcW w:w="32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440" w:type="dxa"/>
            <w:vAlign w:val="bottom"/>
          </w:tcPr>
          <w:p>
            <w:pPr>
              <w:jc w:val="center"/>
              <w:ind w:right="32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82"/>
        </w:trPr>
        <w:tc>
          <w:tcPr>
            <w:tcW w:w="40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Care Concierge, Inc.</w:t>
            </w:r>
          </w:p>
        </w:tc>
        <w:tc>
          <w:tcPr>
            <w:tcW w:w="3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40" w:type="dxa"/>
            <w:vAlign w:val="bottom"/>
          </w:tcPr>
          <w:p>
            <w:pPr>
              <w:jc w:val="center"/>
              <w:ind w:right="321"/>
              <w:spacing w:after="0"/>
              <w:rPr>
                <w:sz w:val="20"/>
                <w:szCs w:val="20"/>
                <w:color w:val="auto"/>
              </w:rPr>
            </w:pPr>
            <w:r>
              <w:rPr>
                <w:rFonts w:ascii="Times New Roman" w:cs="Times New Roman" w:eastAsia="Times New Roman" w:hAnsi="Times New Roman"/>
                <w:sz w:val="20"/>
                <w:szCs w:val="20"/>
                <w:color w:val="auto"/>
                <w:w w:val="98"/>
              </w:rPr>
              <w:t>Massachusetts</w:t>
            </w:r>
          </w:p>
        </w:tc>
      </w:tr>
      <w:tr>
        <w:trPr>
          <w:trHeight w:val="257"/>
        </w:trPr>
        <w:tc>
          <w:tcPr>
            <w:tcW w:w="40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Care International Exchange, Inc.</w:t>
            </w:r>
          </w:p>
        </w:tc>
        <w:tc>
          <w:tcPr>
            <w:tcW w:w="3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40" w:type="dxa"/>
            <w:vAlign w:val="bottom"/>
          </w:tcPr>
          <w:p>
            <w:pPr>
              <w:jc w:val="center"/>
              <w:ind w:right="32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56"/>
        </w:trPr>
        <w:tc>
          <w:tcPr>
            <w:tcW w:w="40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Care.com Australia Pty Limited</w:t>
            </w:r>
          </w:p>
        </w:tc>
        <w:tc>
          <w:tcPr>
            <w:tcW w:w="3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40" w:type="dxa"/>
            <w:vAlign w:val="bottom"/>
          </w:tcPr>
          <w:p>
            <w:pPr>
              <w:jc w:val="center"/>
              <w:ind w:right="321"/>
              <w:spacing w:after="0"/>
              <w:rPr>
                <w:sz w:val="20"/>
                <w:szCs w:val="20"/>
                <w:color w:val="auto"/>
              </w:rPr>
            </w:pPr>
            <w:r>
              <w:rPr>
                <w:rFonts w:ascii="Times New Roman" w:cs="Times New Roman" w:eastAsia="Times New Roman" w:hAnsi="Times New Roman"/>
                <w:sz w:val="20"/>
                <w:szCs w:val="20"/>
                <w:color w:val="auto"/>
              </w:rPr>
              <w:t>Australia</w:t>
            </w:r>
          </w:p>
        </w:tc>
      </w:tr>
      <w:tr>
        <w:trPr>
          <w:trHeight w:val="257"/>
        </w:trPr>
        <w:tc>
          <w:tcPr>
            <w:tcW w:w="40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Care.com Europe GmbH</w:t>
            </w:r>
          </w:p>
        </w:tc>
        <w:tc>
          <w:tcPr>
            <w:tcW w:w="3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40" w:type="dxa"/>
            <w:vAlign w:val="bottom"/>
          </w:tcPr>
          <w:p>
            <w:pPr>
              <w:jc w:val="center"/>
              <w:ind w:right="321"/>
              <w:spacing w:after="0"/>
              <w:rPr>
                <w:sz w:val="20"/>
                <w:szCs w:val="20"/>
                <w:color w:val="auto"/>
              </w:rPr>
            </w:pPr>
            <w:r>
              <w:rPr>
                <w:rFonts w:ascii="Times New Roman" w:cs="Times New Roman" w:eastAsia="Times New Roman" w:hAnsi="Times New Roman"/>
                <w:sz w:val="20"/>
                <w:szCs w:val="20"/>
                <w:color w:val="auto"/>
                <w:w w:val="99"/>
              </w:rPr>
              <w:t>Germany</w:t>
            </w:r>
          </w:p>
        </w:tc>
      </w:tr>
      <w:tr>
        <w:trPr>
          <w:trHeight w:val="257"/>
        </w:trPr>
        <w:tc>
          <w:tcPr>
            <w:tcW w:w="40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Care.com Europe Ltd.</w:t>
            </w:r>
          </w:p>
        </w:tc>
        <w:tc>
          <w:tcPr>
            <w:tcW w:w="3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40" w:type="dxa"/>
            <w:vAlign w:val="bottom"/>
          </w:tcPr>
          <w:p>
            <w:pPr>
              <w:jc w:val="center"/>
              <w:ind w:right="321"/>
              <w:spacing w:after="0"/>
              <w:rPr>
                <w:sz w:val="20"/>
                <w:szCs w:val="20"/>
                <w:color w:val="auto"/>
              </w:rPr>
            </w:pPr>
            <w:r>
              <w:rPr>
                <w:rFonts w:ascii="Times New Roman" w:cs="Times New Roman" w:eastAsia="Times New Roman" w:hAnsi="Times New Roman"/>
                <w:sz w:val="20"/>
                <w:szCs w:val="20"/>
                <w:color w:val="auto"/>
                <w:w w:val="98"/>
              </w:rPr>
              <w:t>England and Wales</w:t>
            </w:r>
          </w:p>
        </w:tc>
      </w:tr>
      <w:tr>
        <w:trPr>
          <w:trHeight w:val="256"/>
        </w:trPr>
        <w:tc>
          <w:tcPr>
            <w:tcW w:w="40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Care.com Securities Corporation</w:t>
            </w:r>
          </w:p>
        </w:tc>
        <w:tc>
          <w:tcPr>
            <w:tcW w:w="3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40" w:type="dxa"/>
            <w:vAlign w:val="bottom"/>
          </w:tcPr>
          <w:p>
            <w:pPr>
              <w:jc w:val="center"/>
              <w:ind w:right="321"/>
              <w:spacing w:after="0"/>
              <w:rPr>
                <w:sz w:val="20"/>
                <w:szCs w:val="20"/>
                <w:color w:val="auto"/>
              </w:rPr>
            </w:pPr>
            <w:r>
              <w:rPr>
                <w:rFonts w:ascii="Times New Roman" w:cs="Times New Roman" w:eastAsia="Times New Roman" w:hAnsi="Times New Roman"/>
                <w:sz w:val="20"/>
                <w:szCs w:val="20"/>
                <w:color w:val="auto"/>
                <w:w w:val="98"/>
              </w:rPr>
              <w:t>Massachusetts</w:t>
            </w:r>
          </w:p>
        </w:tc>
      </w:tr>
      <w:tr>
        <w:trPr>
          <w:trHeight w:val="257"/>
        </w:trPr>
        <w:tc>
          <w:tcPr>
            <w:tcW w:w="40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Care.com Services, LLC</w:t>
            </w:r>
          </w:p>
        </w:tc>
        <w:tc>
          <w:tcPr>
            <w:tcW w:w="3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40" w:type="dxa"/>
            <w:vAlign w:val="bottom"/>
          </w:tcPr>
          <w:p>
            <w:pPr>
              <w:jc w:val="center"/>
              <w:ind w:right="32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56"/>
        </w:trPr>
        <w:tc>
          <w:tcPr>
            <w:tcW w:w="40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Care.com Switzerland AG</w:t>
            </w:r>
          </w:p>
        </w:tc>
        <w:tc>
          <w:tcPr>
            <w:tcW w:w="3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40" w:type="dxa"/>
            <w:vAlign w:val="bottom"/>
          </w:tcPr>
          <w:p>
            <w:pPr>
              <w:jc w:val="center"/>
              <w:ind w:right="321"/>
              <w:spacing w:after="0"/>
              <w:rPr>
                <w:sz w:val="20"/>
                <w:szCs w:val="20"/>
                <w:color w:val="auto"/>
              </w:rPr>
            </w:pPr>
            <w:r>
              <w:rPr>
                <w:rFonts w:ascii="Times New Roman" w:cs="Times New Roman" w:eastAsia="Times New Roman" w:hAnsi="Times New Roman"/>
                <w:sz w:val="20"/>
                <w:szCs w:val="20"/>
                <w:color w:val="auto"/>
                <w:w w:val="98"/>
              </w:rPr>
              <w:t>Switzerland</w:t>
            </w:r>
          </w:p>
        </w:tc>
      </w:tr>
      <w:tr>
        <w:trPr>
          <w:trHeight w:val="257"/>
        </w:trPr>
        <w:tc>
          <w:tcPr>
            <w:tcW w:w="40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Care.com, Inc.</w:t>
            </w:r>
          </w:p>
        </w:tc>
        <w:tc>
          <w:tcPr>
            <w:tcW w:w="3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40" w:type="dxa"/>
            <w:vAlign w:val="bottom"/>
          </w:tcPr>
          <w:p>
            <w:pPr>
              <w:jc w:val="center"/>
              <w:ind w:right="32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56"/>
        </w:trPr>
        <w:tc>
          <w:tcPr>
            <w:tcW w:w="40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CareZen Family Solutions, Inc.</w:t>
            </w:r>
          </w:p>
        </w:tc>
        <w:tc>
          <w:tcPr>
            <w:tcW w:w="3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40" w:type="dxa"/>
            <w:vAlign w:val="bottom"/>
          </w:tcPr>
          <w:p>
            <w:pPr>
              <w:jc w:val="center"/>
              <w:ind w:right="321"/>
              <w:spacing w:after="0"/>
              <w:rPr>
                <w:sz w:val="20"/>
                <w:szCs w:val="20"/>
                <w:color w:val="auto"/>
              </w:rPr>
            </w:pPr>
            <w:r>
              <w:rPr>
                <w:rFonts w:ascii="Times New Roman" w:cs="Times New Roman" w:eastAsia="Times New Roman" w:hAnsi="Times New Roman"/>
                <w:sz w:val="20"/>
                <w:szCs w:val="20"/>
                <w:color w:val="auto"/>
                <w:w w:val="96"/>
              </w:rPr>
              <w:t>Canada</w:t>
            </w:r>
          </w:p>
        </w:tc>
      </w:tr>
      <w:tr>
        <w:trPr>
          <w:trHeight w:val="257"/>
        </w:trPr>
        <w:tc>
          <w:tcPr>
            <w:tcW w:w="40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Clime Weather Service, LLC</w:t>
            </w:r>
          </w:p>
        </w:tc>
        <w:tc>
          <w:tcPr>
            <w:tcW w:w="3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40" w:type="dxa"/>
            <w:vAlign w:val="bottom"/>
          </w:tcPr>
          <w:p>
            <w:pPr>
              <w:jc w:val="center"/>
              <w:ind w:right="32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56"/>
        </w:trPr>
        <w:tc>
          <w:tcPr>
            <w:tcW w:w="40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Comedy News Ventures, Inc.</w:t>
            </w:r>
          </w:p>
        </w:tc>
        <w:tc>
          <w:tcPr>
            <w:tcW w:w="3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40" w:type="dxa"/>
            <w:vAlign w:val="bottom"/>
          </w:tcPr>
          <w:p>
            <w:pPr>
              <w:jc w:val="center"/>
              <w:ind w:right="32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57"/>
        </w:trPr>
        <w:tc>
          <w:tcPr>
            <w:tcW w:w="40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Conceptiv Apps LLC</w:t>
            </w:r>
          </w:p>
        </w:tc>
        <w:tc>
          <w:tcPr>
            <w:tcW w:w="3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40" w:type="dxa"/>
            <w:vAlign w:val="bottom"/>
          </w:tcPr>
          <w:p>
            <w:pPr>
              <w:jc w:val="center"/>
              <w:ind w:right="32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56"/>
        </w:trPr>
        <w:tc>
          <w:tcPr>
            <w:tcW w:w="40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Confide, Inc.</w:t>
            </w:r>
          </w:p>
        </w:tc>
        <w:tc>
          <w:tcPr>
            <w:tcW w:w="3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40" w:type="dxa"/>
            <w:vAlign w:val="bottom"/>
          </w:tcPr>
          <w:p>
            <w:pPr>
              <w:jc w:val="center"/>
              <w:ind w:right="32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56"/>
        </w:trPr>
        <w:tc>
          <w:tcPr>
            <w:tcW w:w="40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ConsumerSearch, Inc.</w:t>
            </w:r>
          </w:p>
        </w:tc>
        <w:tc>
          <w:tcPr>
            <w:tcW w:w="3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40" w:type="dxa"/>
            <w:vAlign w:val="bottom"/>
          </w:tcPr>
          <w:p>
            <w:pPr>
              <w:jc w:val="center"/>
              <w:ind w:right="32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56"/>
        </w:trPr>
        <w:tc>
          <w:tcPr>
            <w:tcW w:w="40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CraftJack Inc.</w:t>
            </w:r>
          </w:p>
        </w:tc>
        <w:tc>
          <w:tcPr>
            <w:tcW w:w="3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40" w:type="dxa"/>
            <w:vAlign w:val="bottom"/>
          </w:tcPr>
          <w:p>
            <w:pPr>
              <w:jc w:val="center"/>
              <w:ind w:right="341"/>
              <w:spacing w:after="0"/>
              <w:rPr>
                <w:sz w:val="20"/>
                <w:szCs w:val="20"/>
                <w:color w:val="auto"/>
              </w:rPr>
            </w:pPr>
            <w:r>
              <w:rPr>
                <w:rFonts w:ascii="Times New Roman" w:cs="Times New Roman" w:eastAsia="Times New Roman" w:hAnsi="Times New Roman"/>
                <w:sz w:val="20"/>
                <w:szCs w:val="20"/>
                <w:color w:val="auto"/>
                <w:w w:val="98"/>
              </w:rPr>
              <w:t>Illinois</w:t>
            </w:r>
          </w:p>
        </w:tc>
      </w:tr>
      <w:tr>
        <w:trPr>
          <w:trHeight w:val="256"/>
        </w:trPr>
        <w:tc>
          <w:tcPr>
            <w:tcW w:w="40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Customly LLC</w:t>
            </w:r>
          </w:p>
        </w:tc>
        <w:tc>
          <w:tcPr>
            <w:tcW w:w="3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40" w:type="dxa"/>
            <w:vAlign w:val="bottom"/>
          </w:tcPr>
          <w:p>
            <w:pPr>
              <w:jc w:val="center"/>
              <w:ind w:right="32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56"/>
        </w:trPr>
        <w:tc>
          <w:tcPr>
            <w:tcW w:w="40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CV Acquisition Corp.</w:t>
            </w:r>
          </w:p>
        </w:tc>
        <w:tc>
          <w:tcPr>
            <w:tcW w:w="3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40" w:type="dxa"/>
            <w:vAlign w:val="bottom"/>
          </w:tcPr>
          <w:p>
            <w:pPr>
              <w:jc w:val="center"/>
              <w:ind w:right="32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57"/>
        </w:trPr>
        <w:tc>
          <w:tcPr>
            <w:tcW w:w="40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Dotdash Meredith Inc.</w:t>
            </w:r>
          </w:p>
        </w:tc>
        <w:tc>
          <w:tcPr>
            <w:tcW w:w="3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40" w:type="dxa"/>
            <w:vAlign w:val="bottom"/>
          </w:tcPr>
          <w:p>
            <w:pPr>
              <w:jc w:val="center"/>
              <w:ind w:right="32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72"/>
        </w:trPr>
        <w:tc>
          <w:tcPr>
            <w:tcW w:w="40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Eating Well, LLC</w:t>
            </w:r>
          </w:p>
        </w:tc>
        <w:tc>
          <w:tcPr>
            <w:tcW w:w="32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440" w:type="dxa"/>
            <w:vAlign w:val="bottom"/>
          </w:tcPr>
          <w:p>
            <w:pPr>
              <w:jc w:val="center"/>
              <w:ind w:right="321"/>
              <w:spacing w:after="0"/>
              <w:rPr>
                <w:sz w:val="20"/>
                <w:szCs w:val="20"/>
                <w:color w:val="auto"/>
              </w:rPr>
            </w:pPr>
            <w:r>
              <w:rPr>
                <w:rFonts w:ascii="Times New Roman" w:cs="Times New Roman" w:eastAsia="Times New Roman" w:hAnsi="Times New Roman"/>
                <w:sz w:val="20"/>
                <w:szCs w:val="20"/>
                <w:color w:val="auto"/>
                <w:w w:val="94"/>
              </w:rPr>
              <w:t>Iowa</w:t>
            </w:r>
          </w:p>
        </w:tc>
      </w:tr>
      <w:tr>
        <w:trPr>
          <w:trHeight w:val="297"/>
        </w:trPr>
        <w:tc>
          <w:tcPr>
            <w:tcW w:w="40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Efundraising.com Corporation Incorporated</w:t>
            </w:r>
          </w:p>
        </w:tc>
        <w:tc>
          <w:tcPr>
            <w:tcW w:w="3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40" w:type="dxa"/>
            <w:vAlign w:val="bottom"/>
          </w:tcPr>
          <w:p>
            <w:pPr>
              <w:jc w:val="center"/>
              <w:ind w:right="321"/>
              <w:spacing w:after="0"/>
              <w:rPr>
                <w:sz w:val="20"/>
                <w:szCs w:val="20"/>
                <w:color w:val="auto"/>
              </w:rPr>
            </w:pPr>
            <w:r>
              <w:rPr>
                <w:rFonts w:ascii="Times New Roman" w:cs="Times New Roman" w:eastAsia="Times New Roman" w:hAnsi="Times New Roman"/>
                <w:sz w:val="20"/>
                <w:szCs w:val="20"/>
                <w:color w:val="auto"/>
                <w:w w:val="96"/>
              </w:rPr>
              <w:t>Canada</w:t>
            </w:r>
          </w:p>
        </w:tc>
      </w:tr>
      <w:tr>
        <w:trPr>
          <w:trHeight w:val="297"/>
        </w:trPr>
        <w:tc>
          <w:tcPr>
            <w:tcW w:w="40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Entertainment Weekly, LLC</w:t>
            </w:r>
          </w:p>
        </w:tc>
        <w:tc>
          <w:tcPr>
            <w:tcW w:w="3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40" w:type="dxa"/>
            <w:vAlign w:val="bottom"/>
          </w:tcPr>
          <w:p>
            <w:pPr>
              <w:jc w:val="center"/>
              <w:ind w:right="32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82"/>
        </w:trPr>
        <w:tc>
          <w:tcPr>
            <w:tcW w:w="40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Epic Applications, LLC</w:t>
            </w:r>
          </w:p>
        </w:tc>
        <w:tc>
          <w:tcPr>
            <w:tcW w:w="3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40" w:type="dxa"/>
            <w:vAlign w:val="bottom"/>
          </w:tcPr>
          <w:p>
            <w:pPr>
              <w:jc w:val="center"/>
              <w:ind w:right="32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56"/>
        </w:trPr>
        <w:tc>
          <w:tcPr>
            <w:tcW w:w="40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Falcon Holdings II, LLC</w:t>
            </w:r>
          </w:p>
        </w:tc>
        <w:tc>
          <w:tcPr>
            <w:tcW w:w="3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40" w:type="dxa"/>
            <w:vAlign w:val="bottom"/>
          </w:tcPr>
          <w:p>
            <w:pPr>
              <w:jc w:val="center"/>
              <w:ind w:right="32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58"/>
        </w:trPr>
        <w:tc>
          <w:tcPr>
            <w:tcW w:w="40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Filios, Inc.</w:t>
            </w:r>
          </w:p>
        </w:tc>
        <w:tc>
          <w:tcPr>
            <w:tcW w:w="3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40" w:type="dxa"/>
            <w:vAlign w:val="bottom"/>
          </w:tcPr>
          <w:p>
            <w:pPr>
              <w:jc w:val="center"/>
              <w:ind w:right="321"/>
              <w:spacing w:after="0"/>
              <w:rPr>
                <w:sz w:val="20"/>
                <w:szCs w:val="20"/>
                <w:color w:val="auto"/>
              </w:rPr>
            </w:pPr>
            <w:r>
              <w:rPr>
                <w:rFonts w:ascii="Times New Roman" w:cs="Times New Roman" w:eastAsia="Times New Roman" w:hAnsi="Times New Roman"/>
                <w:sz w:val="20"/>
                <w:szCs w:val="20"/>
                <w:color w:val="auto"/>
                <w:w w:val="96"/>
              </w:rPr>
              <w:t>Delaware</w:t>
            </w:r>
          </w:p>
        </w:tc>
      </w:tr>
    </w:tbl>
    <w:p>
      <w:pPr>
        <w:sectPr>
          <w:pgSz w:w="11900" w:h="16838" w:orient="portrait"/>
          <w:cols w:equalWidth="0" w:num="1">
            <w:col w:w="11240"/>
          </w:cols>
          <w:pgMar w:left="320" w:top="117" w:right="339" w:bottom="1440" w:gutter="0" w:footer="0" w:header="0"/>
        </w:sectPr>
      </w:pPr>
    </w:p>
    <w:bookmarkStart w:id="189" w:name="page190"/>
    <w:bookmarkEnd w:id="189"/>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Four M Studios LLC</w:t>
            </w:r>
          </w:p>
        </w:tc>
        <w:tc>
          <w:tcPr>
            <w:tcW w:w="3940" w:type="dxa"/>
            <w:vAlign w:val="bottom"/>
          </w:tcPr>
          <w:p>
            <w:pPr>
              <w:jc w:val="center"/>
              <w:ind w:left="2261"/>
              <w:spacing w:after="0"/>
              <w:rPr>
                <w:sz w:val="20"/>
                <w:szCs w:val="20"/>
                <w:color w:val="auto"/>
              </w:rPr>
            </w:pPr>
            <w:r>
              <w:rPr>
                <w:rFonts w:ascii="Times New Roman" w:cs="Times New Roman" w:eastAsia="Times New Roman" w:hAnsi="Times New Roman"/>
                <w:sz w:val="20"/>
                <w:szCs w:val="20"/>
                <w:color w:val="auto"/>
                <w:w w:val="94"/>
              </w:rPr>
              <w:t>Iowa</w:t>
            </w:r>
          </w:p>
        </w:tc>
      </w:tr>
      <w:tr>
        <w:trPr>
          <w:trHeight w:val="297"/>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Gift Services Company, LLC</w:t>
            </w:r>
          </w:p>
        </w:tc>
        <w:tc>
          <w:tcPr>
            <w:tcW w:w="3940" w:type="dxa"/>
            <w:vAlign w:val="bottom"/>
          </w:tcPr>
          <w:p>
            <w:pPr>
              <w:jc w:val="center"/>
              <w:ind w:left="226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82"/>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HAI Holding B.V.</w:t>
            </w:r>
          </w:p>
        </w:tc>
        <w:tc>
          <w:tcPr>
            <w:tcW w:w="3940" w:type="dxa"/>
            <w:vAlign w:val="bottom"/>
          </w:tcPr>
          <w:p>
            <w:pPr>
              <w:jc w:val="center"/>
              <w:ind w:left="2261"/>
              <w:spacing w:after="0"/>
              <w:rPr>
                <w:sz w:val="20"/>
                <w:szCs w:val="20"/>
                <w:color w:val="auto"/>
              </w:rPr>
            </w:pPr>
            <w:r>
              <w:rPr>
                <w:rFonts w:ascii="Times New Roman" w:cs="Times New Roman" w:eastAsia="Times New Roman" w:hAnsi="Times New Roman"/>
                <w:sz w:val="20"/>
                <w:szCs w:val="20"/>
                <w:color w:val="auto"/>
                <w:w w:val="97"/>
              </w:rPr>
              <w:t>Netherlands</w:t>
            </w:r>
          </w:p>
        </w:tc>
      </w:tr>
      <w:tr>
        <w:trPr>
          <w:trHeight w:val="257"/>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Handy Technologies, Inc.</w:t>
            </w:r>
          </w:p>
        </w:tc>
        <w:tc>
          <w:tcPr>
            <w:tcW w:w="3940" w:type="dxa"/>
            <w:vAlign w:val="bottom"/>
          </w:tcPr>
          <w:p>
            <w:pPr>
              <w:jc w:val="center"/>
              <w:ind w:left="226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57"/>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HandyBook Canada ULC</w:t>
            </w:r>
          </w:p>
        </w:tc>
        <w:tc>
          <w:tcPr>
            <w:tcW w:w="3940" w:type="dxa"/>
            <w:vAlign w:val="bottom"/>
          </w:tcPr>
          <w:p>
            <w:pPr>
              <w:jc w:val="center"/>
              <w:ind w:left="2261"/>
              <w:spacing w:after="0"/>
              <w:rPr>
                <w:sz w:val="20"/>
                <w:szCs w:val="20"/>
                <w:color w:val="auto"/>
              </w:rPr>
            </w:pPr>
            <w:r>
              <w:rPr>
                <w:rFonts w:ascii="Times New Roman" w:cs="Times New Roman" w:eastAsia="Times New Roman" w:hAnsi="Times New Roman"/>
                <w:sz w:val="20"/>
                <w:szCs w:val="20"/>
                <w:color w:val="auto"/>
                <w:w w:val="96"/>
              </w:rPr>
              <w:t>Canada</w:t>
            </w:r>
          </w:p>
        </w:tc>
      </w:tr>
      <w:tr>
        <w:trPr>
          <w:trHeight w:val="272"/>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Health Media Ventures Inc.</w:t>
            </w:r>
          </w:p>
        </w:tc>
        <w:tc>
          <w:tcPr>
            <w:tcW w:w="3940" w:type="dxa"/>
            <w:vAlign w:val="bottom"/>
          </w:tcPr>
          <w:p>
            <w:pPr>
              <w:jc w:val="center"/>
              <w:ind w:left="226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97"/>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Healthy Living, Inc.</w:t>
            </w:r>
          </w:p>
        </w:tc>
        <w:tc>
          <w:tcPr>
            <w:tcW w:w="3940" w:type="dxa"/>
            <w:vAlign w:val="bottom"/>
          </w:tcPr>
          <w:p>
            <w:pPr>
              <w:jc w:val="center"/>
              <w:ind w:left="226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97"/>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Hello Giggles, Inc.</w:t>
            </w:r>
          </w:p>
        </w:tc>
        <w:tc>
          <w:tcPr>
            <w:tcW w:w="3940" w:type="dxa"/>
            <w:vAlign w:val="bottom"/>
          </w:tcPr>
          <w:p>
            <w:pPr>
              <w:jc w:val="center"/>
              <w:ind w:left="226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97"/>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HL Productions, LLC</w:t>
            </w:r>
          </w:p>
        </w:tc>
        <w:tc>
          <w:tcPr>
            <w:tcW w:w="3940" w:type="dxa"/>
            <w:vAlign w:val="bottom"/>
          </w:tcPr>
          <w:p>
            <w:pPr>
              <w:jc w:val="center"/>
              <w:ind w:left="226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82"/>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HLVP Follow On Fund GP, LLC</w:t>
            </w:r>
          </w:p>
        </w:tc>
        <w:tc>
          <w:tcPr>
            <w:tcW w:w="3940" w:type="dxa"/>
            <w:vAlign w:val="bottom"/>
          </w:tcPr>
          <w:p>
            <w:pPr>
              <w:jc w:val="center"/>
              <w:ind w:left="226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57"/>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HLVP Follow On Fund, L.P.</w:t>
            </w:r>
          </w:p>
        </w:tc>
        <w:tc>
          <w:tcPr>
            <w:tcW w:w="3940" w:type="dxa"/>
            <w:vAlign w:val="bottom"/>
          </w:tcPr>
          <w:p>
            <w:pPr>
              <w:jc w:val="center"/>
              <w:ind w:left="226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57"/>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HLVP I GP, LLC</w:t>
            </w:r>
          </w:p>
        </w:tc>
        <w:tc>
          <w:tcPr>
            <w:tcW w:w="3940" w:type="dxa"/>
            <w:vAlign w:val="bottom"/>
          </w:tcPr>
          <w:p>
            <w:pPr>
              <w:jc w:val="center"/>
              <w:ind w:left="226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56"/>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HLVP I, L.P.</w:t>
            </w:r>
          </w:p>
        </w:tc>
        <w:tc>
          <w:tcPr>
            <w:tcW w:w="3940" w:type="dxa"/>
            <w:vAlign w:val="bottom"/>
          </w:tcPr>
          <w:p>
            <w:pPr>
              <w:jc w:val="center"/>
              <w:ind w:left="226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57"/>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HLVP II GP, LLC</w:t>
            </w:r>
          </w:p>
        </w:tc>
        <w:tc>
          <w:tcPr>
            <w:tcW w:w="3940" w:type="dxa"/>
            <w:vAlign w:val="bottom"/>
          </w:tcPr>
          <w:p>
            <w:pPr>
              <w:jc w:val="center"/>
              <w:ind w:left="226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57"/>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HLVP II, L.P.</w:t>
            </w:r>
          </w:p>
        </w:tc>
        <w:tc>
          <w:tcPr>
            <w:tcW w:w="3940" w:type="dxa"/>
            <w:vAlign w:val="bottom"/>
          </w:tcPr>
          <w:p>
            <w:pPr>
              <w:jc w:val="center"/>
              <w:ind w:left="226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57"/>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HLVP III GP, LLC</w:t>
            </w:r>
          </w:p>
        </w:tc>
        <w:tc>
          <w:tcPr>
            <w:tcW w:w="3940" w:type="dxa"/>
            <w:vAlign w:val="bottom"/>
          </w:tcPr>
          <w:p>
            <w:pPr>
              <w:jc w:val="center"/>
              <w:ind w:left="226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57"/>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HLVP III, L.P.</w:t>
            </w:r>
          </w:p>
        </w:tc>
        <w:tc>
          <w:tcPr>
            <w:tcW w:w="3940" w:type="dxa"/>
            <w:vAlign w:val="bottom"/>
          </w:tcPr>
          <w:p>
            <w:pPr>
              <w:jc w:val="center"/>
              <w:ind w:left="226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56"/>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Home Advisor Limited</w:t>
            </w:r>
          </w:p>
        </w:tc>
        <w:tc>
          <w:tcPr>
            <w:tcW w:w="3940" w:type="dxa"/>
            <w:vAlign w:val="bottom"/>
          </w:tcPr>
          <w:p>
            <w:pPr>
              <w:jc w:val="center"/>
              <w:ind w:left="2321"/>
              <w:spacing w:after="0"/>
              <w:rPr>
                <w:sz w:val="20"/>
                <w:szCs w:val="20"/>
                <w:color w:val="auto"/>
              </w:rPr>
            </w:pPr>
            <w:r>
              <w:rPr>
                <w:rFonts w:ascii="Times New Roman" w:cs="Times New Roman" w:eastAsia="Times New Roman" w:hAnsi="Times New Roman"/>
                <w:sz w:val="20"/>
                <w:szCs w:val="20"/>
                <w:color w:val="auto"/>
                <w:w w:val="97"/>
              </w:rPr>
              <w:t>England and Wales</w:t>
            </w:r>
          </w:p>
        </w:tc>
      </w:tr>
      <w:tr>
        <w:trPr>
          <w:trHeight w:val="257"/>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MyHammer GmbH</w:t>
            </w:r>
          </w:p>
        </w:tc>
        <w:tc>
          <w:tcPr>
            <w:tcW w:w="3940" w:type="dxa"/>
            <w:vAlign w:val="bottom"/>
          </w:tcPr>
          <w:p>
            <w:pPr>
              <w:jc w:val="center"/>
              <w:ind w:left="2261"/>
              <w:spacing w:after="0"/>
              <w:rPr>
                <w:sz w:val="20"/>
                <w:szCs w:val="20"/>
                <w:color w:val="auto"/>
              </w:rPr>
            </w:pPr>
            <w:r>
              <w:rPr>
                <w:rFonts w:ascii="Times New Roman" w:cs="Times New Roman" w:eastAsia="Times New Roman" w:hAnsi="Times New Roman"/>
                <w:sz w:val="20"/>
                <w:szCs w:val="20"/>
                <w:color w:val="auto"/>
                <w:w w:val="99"/>
              </w:rPr>
              <w:t>Germany</w:t>
            </w:r>
          </w:p>
        </w:tc>
      </w:tr>
      <w:tr>
        <w:trPr>
          <w:trHeight w:val="257"/>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Angi International, LLC</w:t>
            </w:r>
          </w:p>
        </w:tc>
        <w:tc>
          <w:tcPr>
            <w:tcW w:w="3940" w:type="dxa"/>
            <w:vAlign w:val="bottom"/>
          </w:tcPr>
          <w:p>
            <w:pPr>
              <w:jc w:val="center"/>
              <w:ind w:left="226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56"/>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HomeAdvisor, Inc.</w:t>
            </w:r>
          </w:p>
        </w:tc>
        <w:tc>
          <w:tcPr>
            <w:tcW w:w="3940" w:type="dxa"/>
            <w:vAlign w:val="bottom"/>
          </w:tcPr>
          <w:p>
            <w:pPr>
              <w:jc w:val="center"/>
              <w:ind w:left="226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57"/>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HomeStars, Inc.</w:t>
            </w:r>
          </w:p>
        </w:tc>
        <w:tc>
          <w:tcPr>
            <w:tcW w:w="3940" w:type="dxa"/>
            <w:vAlign w:val="bottom"/>
          </w:tcPr>
          <w:p>
            <w:pPr>
              <w:jc w:val="center"/>
              <w:ind w:left="2261"/>
              <w:spacing w:after="0"/>
              <w:rPr>
                <w:sz w:val="20"/>
                <w:szCs w:val="20"/>
                <w:color w:val="auto"/>
              </w:rPr>
            </w:pPr>
            <w:r>
              <w:rPr>
                <w:rFonts w:ascii="Times New Roman" w:cs="Times New Roman" w:eastAsia="Times New Roman" w:hAnsi="Times New Roman"/>
                <w:sz w:val="20"/>
                <w:szCs w:val="20"/>
                <w:color w:val="auto"/>
                <w:w w:val="96"/>
              </w:rPr>
              <w:t>Canada</w:t>
            </w:r>
          </w:p>
        </w:tc>
      </w:tr>
      <w:tr>
        <w:trPr>
          <w:trHeight w:val="272"/>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HP Holdings, LLC</w:t>
            </w:r>
          </w:p>
        </w:tc>
        <w:tc>
          <w:tcPr>
            <w:tcW w:w="3940" w:type="dxa"/>
            <w:vAlign w:val="bottom"/>
          </w:tcPr>
          <w:p>
            <w:pPr>
              <w:jc w:val="center"/>
              <w:ind w:left="226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82"/>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HSN Capital LLC</w:t>
            </w:r>
          </w:p>
        </w:tc>
        <w:tc>
          <w:tcPr>
            <w:tcW w:w="3940" w:type="dxa"/>
            <w:vAlign w:val="bottom"/>
          </w:tcPr>
          <w:p>
            <w:pPr>
              <w:jc w:val="center"/>
              <w:ind w:left="226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57"/>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HSN, LLC</w:t>
            </w:r>
          </w:p>
        </w:tc>
        <w:tc>
          <w:tcPr>
            <w:tcW w:w="3940" w:type="dxa"/>
            <w:vAlign w:val="bottom"/>
          </w:tcPr>
          <w:p>
            <w:pPr>
              <w:jc w:val="center"/>
              <w:ind w:left="226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56"/>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HTRF Ventures, LLC</w:t>
            </w:r>
          </w:p>
        </w:tc>
        <w:tc>
          <w:tcPr>
            <w:tcW w:w="3940" w:type="dxa"/>
            <w:vAlign w:val="bottom"/>
          </w:tcPr>
          <w:p>
            <w:pPr>
              <w:jc w:val="center"/>
              <w:ind w:left="226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72"/>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Hyperfactory IT Services India Private Limited</w:t>
            </w:r>
          </w:p>
        </w:tc>
        <w:tc>
          <w:tcPr>
            <w:tcW w:w="3940" w:type="dxa"/>
            <w:vAlign w:val="bottom"/>
          </w:tcPr>
          <w:p>
            <w:pPr>
              <w:jc w:val="center"/>
              <w:ind w:left="2261"/>
              <w:spacing w:after="0"/>
              <w:rPr>
                <w:sz w:val="20"/>
                <w:szCs w:val="20"/>
                <w:color w:val="auto"/>
              </w:rPr>
            </w:pPr>
            <w:r>
              <w:rPr>
                <w:rFonts w:ascii="Times New Roman" w:cs="Times New Roman" w:eastAsia="Times New Roman" w:hAnsi="Times New Roman"/>
                <w:sz w:val="20"/>
                <w:szCs w:val="20"/>
                <w:color w:val="auto"/>
              </w:rPr>
              <w:t>India</w:t>
            </w:r>
          </w:p>
        </w:tc>
      </w:tr>
      <w:tr>
        <w:trPr>
          <w:trHeight w:val="322"/>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IAC 19</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St. Holdings, LLC</w:t>
            </w:r>
          </w:p>
        </w:tc>
        <w:tc>
          <w:tcPr>
            <w:tcW w:w="3940" w:type="dxa"/>
            <w:vAlign w:val="bottom"/>
          </w:tcPr>
          <w:p>
            <w:pPr>
              <w:jc w:val="center"/>
              <w:ind w:left="226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56"/>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IAC Applications, LLC</w:t>
            </w:r>
          </w:p>
        </w:tc>
        <w:tc>
          <w:tcPr>
            <w:tcW w:w="3940" w:type="dxa"/>
            <w:vAlign w:val="bottom"/>
          </w:tcPr>
          <w:p>
            <w:pPr>
              <w:jc w:val="center"/>
              <w:ind w:left="226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57"/>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IAC Charitable Foundation, Inc.</w:t>
            </w:r>
          </w:p>
        </w:tc>
        <w:tc>
          <w:tcPr>
            <w:tcW w:w="3940" w:type="dxa"/>
            <w:vAlign w:val="bottom"/>
          </w:tcPr>
          <w:p>
            <w:pPr>
              <w:jc w:val="center"/>
              <w:ind w:left="226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56"/>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IAC Falcon Holdings III, LLC</w:t>
            </w:r>
          </w:p>
        </w:tc>
        <w:tc>
          <w:tcPr>
            <w:tcW w:w="3940" w:type="dxa"/>
            <w:vAlign w:val="bottom"/>
          </w:tcPr>
          <w:p>
            <w:pPr>
              <w:jc w:val="center"/>
              <w:ind w:left="226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57"/>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IAC Falcon Holdings, LLC</w:t>
            </w:r>
          </w:p>
        </w:tc>
        <w:tc>
          <w:tcPr>
            <w:tcW w:w="3940" w:type="dxa"/>
            <w:vAlign w:val="bottom"/>
          </w:tcPr>
          <w:p>
            <w:pPr>
              <w:jc w:val="center"/>
              <w:ind w:left="226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57"/>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IAC FinanceCo 4, Inc.</w:t>
            </w:r>
          </w:p>
        </w:tc>
        <w:tc>
          <w:tcPr>
            <w:tcW w:w="3940" w:type="dxa"/>
            <w:vAlign w:val="bottom"/>
          </w:tcPr>
          <w:p>
            <w:pPr>
              <w:jc w:val="center"/>
              <w:ind w:left="226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56"/>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IAC Group, LLC</w:t>
            </w:r>
          </w:p>
        </w:tc>
        <w:tc>
          <w:tcPr>
            <w:tcW w:w="3940" w:type="dxa"/>
            <w:vAlign w:val="bottom"/>
          </w:tcPr>
          <w:p>
            <w:pPr>
              <w:jc w:val="center"/>
              <w:ind w:left="226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57"/>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IAC NewCo LLC</w:t>
            </w:r>
          </w:p>
        </w:tc>
        <w:tc>
          <w:tcPr>
            <w:tcW w:w="3940" w:type="dxa"/>
            <w:vAlign w:val="bottom"/>
          </w:tcPr>
          <w:p>
            <w:pPr>
              <w:jc w:val="center"/>
              <w:ind w:left="226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56"/>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IAC Publishing Holding Limited Partnership</w:t>
            </w:r>
          </w:p>
        </w:tc>
        <w:tc>
          <w:tcPr>
            <w:tcW w:w="3940" w:type="dxa"/>
            <w:vAlign w:val="bottom"/>
          </w:tcPr>
          <w:p>
            <w:pPr>
              <w:jc w:val="center"/>
              <w:ind w:left="2241"/>
              <w:spacing w:after="0"/>
              <w:rPr>
                <w:sz w:val="20"/>
                <w:szCs w:val="20"/>
                <w:color w:val="auto"/>
              </w:rPr>
            </w:pPr>
            <w:r>
              <w:rPr>
                <w:rFonts w:ascii="Times New Roman" w:cs="Times New Roman" w:eastAsia="Times New Roman" w:hAnsi="Times New Roman"/>
                <w:sz w:val="20"/>
                <w:szCs w:val="20"/>
                <w:color w:val="auto"/>
                <w:w w:val="98"/>
              </w:rPr>
              <w:t>Ireland</w:t>
            </w:r>
          </w:p>
        </w:tc>
      </w:tr>
      <w:tr>
        <w:trPr>
          <w:trHeight w:val="257"/>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IAC Search &amp; Media Europe Limited</w:t>
            </w:r>
          </w:p>
        </w:tc>
        <w:tc>
          <w:tcPr>
            <w:tcW w:w="3940" w:type="dxa"/>
            <w:vAlign w:val="bottom"/>
          </w:tcPr>
          <w:p>
            <w:pPr>
              <w:jc w:val="center"/>
              <w:ind w:left="2241"/>
              <w:spacing w:after="0"/>
              <w:rPr>
                <w:sz w:val="20"/>
                <w:szCs w:val="20"/>
                <w:color w:val="auto"/>
              </w:rPr>
            </w:pPr>
            <w:r>
              <w:rPr>
                <w:rFonts w:ascii="Times New Roman" w:cs="Times New Roman" w:eastAsia="Times New Roman" w:hAnsi="Times New Roman"/>
                <w:sz w:val="20"/>
                <w:szCs w:val="20"/>
                <w:color w:val="auto"/>
                <w:w w:val="98"/>
              </w:rPr>
              <w:t>Ireland</w:t>
            </w:r>
          </w:p>
        </w:tc>
      </w:tr>
      <w:tr>
        <w:trPr>
          <w:trHeight w:val="256"/>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IAC Search &amp; Media UK Limited</w:t>
            </w:r>
          </w:p>
        </w:tc>
        <w:tc>
          <w:tcPr>
            <w:tcW w:w="3940" w:type="dxa"/>
            <w:vAlign w:val="bottom"/>
          </w:tcPr>
          <w:p>
            <w:pPr>
              <w:jc w:val="center"/>
              <w:ind w:left="2261"/>
              <w:spacing w:after="0"/>
              <w:rPr>
                <w:sz w:val="20"/>
                <w:szCs w:val="20"/>
                <w:color w:val="auto"/>
              </w:rPr>
            </w:pPr>
            <w:r>
              <w:rPr>
                <w:rFonts w:ascii="Times New Roman" w:cs="Times New Roman" w:eastAsia="Times New Roman" w:hAnsi="Times New Roman"/>
                <w:sz w:val="20"/>
                <w:szCs w:val="20"/>
                <w:color w:val="auto"/>
                <w:w w:val="98"/>
              </w:rPr>
              <w:t>England and Wales</w:t>
            </w:r>
          </w:p>
        </w:tc>
      </w:tr>
      <w:tr>
        <w:trPr>
          <w:trHeight w:val="257"/>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IAC Search &amp; Media, Inc.</w:t>
            </w:r>
          </w:p>
        </w:tc>
        <w:tc>
          <w:tcPr>
            <w:tcW w:w="3940" w:type="dxa"/>
            <w:vAlign w:val="bottom"/>
          </w:tcPr>
          <w:p>
            <w:pPr>
              <w:jc w:val="center"/>
              <w:ind w:left="226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56"/>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IAC Search, LLC</w:t>
            </w:r>
          </w:p>
        </w:tc>
        <w:tc>
          <w:tcPr>
            <w:tcW w:w="3940" w:type="dxa"/>
            <w:vAlign w:val="bottom"/>
          </w:tcPr>
          <w:p>
            <w:pPr>
              <w:jc w:val="center"/>
              <w:ind w:left="226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53"/>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IAC Shopping International, Inc.</w:t>
            </w:r>
          </w:p>
        </w:tc>
        <w:tc>
          <w:tcPr>
            <w:tcW w:w="3940" w:type="dxa"/>
            <w:vAlign w:val="bottom"/>
          </w:tcPr>
          <w:p>
            <w:pPr>
              <w:jc w:val="center"/>
              <w:ind w:left="226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60"/>
        </w:trPr>
        <w:tc>
          <w:tcPr>
            <w:tcW w:w="61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IAC Work, LLC</w:t>
            </w:r>
          </w:p>
        </w:tc>
        <w:tc>
          <w:tcPr>
            <w:tcW w:w="3940" w:type="dxa"/>
            <w:vAlign w:val="bottom"/>
          </w:tcPr>
          <w:p>
            <w:pPr>
              <w:jc w:val="center"/>
              <w:ind w:left="226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56"/>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IAC/Expedia Global, LLC</w:t>
            </w:r>
          </w:p>
        </w:tc>
        <w:tc>
          <w:tcPr>
            <w:tcW w:w="3940" w:type="dxa"/>
            <w:vAlign w:val="bottom"/>
          </w:tcPr>
          <w:p>
            <w:pPr>
              <w:jc w:val="center"/>
              <w:ind w:left="226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56"/>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InterActiveCorp Films, Inc.</w:t>
            </w:r>
          </w:p>
        </w:tc>
        <w:tc>
          <w:tcPr>
            <w:tcW w:w="3940" w:type="dxa"/>
            <w:vAlign w:val="bottom"/>
          </w:tcPr>
          <w:p>
            <w:pPr>
              <w:jc w:val="center"/>
              <w:ind w:left="226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56"/>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InterActiveCorp Films, LLC</w:t>
            </w:r>
          </w:p>
        </w:tc>
        <w:tc>
          <w:tcPr>
            <w:tcW w:w="3940" w:type="dxa"/>
            <w:vAlign w:val="bottom"/>
          </w:tcPr>
          <w:p>
            <w:pPr>
              <w:jc w:val="center"/>
              <w:ind w:left="226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56"/>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InterCaptiveCorp, Ltd.</w:t>
            </w:r>
          </w:p>
        </w:tc>
        <w:tc>
          <w:tcPr>
            <w:tcW w:w="3940" w:type="dxa"/>
            <w:vAlign w:val="bottom"/>
          </w:tcPr>
          <w:p>
            <w:pPr>
              <w:jc w:val="center"/>
              <w:ind w:left="2261"/>
              <w:spacing w:after="0"/>
              <w:rPr>
                <w:sz w:val="20"/>
                <w:szCs w:val="20"/>
                <w:color w:val="auto"/>
              </w:rPr>
            </w:pPr>
            <w:r>
              <w:rPr>
                <w:rFonts w:ascii="Times New Roman" w:cs="Times New Roman" w:eastAsia="Times New Roman" w:hAnsi="Times New Roman"/>
                <w:sz w:val="20"/>
                <w:szCs w:val="20"/>
                <w:color w:val="auto"/>
              </w:rPr>
              <w:t>Bermuda</w:t>
            </w:r>
          </w:p>
        </w:tc>
      </w:tr>
      <w:tr>
        <w:trPr>
          <w:trHeight w:val="272"/>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International Publishing Corporation Limited</w:t>
            </w:r>
          </w:p>
        </w:tc>
        <w:tc>
          <w:tcPr>
            <w:tcW w:w="3940" w:type="dxa"/>
            <w:vAlign w:val="bottom"/>
          </w:tcPr>
          <w:p>
            <w:pPr>
              <w:jc w:val="center"/>
              <w:ind w:left="2261"/>
              <w:spacing w:after="0"/>
              <w:rPr>
                <w:sz w:val="20"/>
                <w:szCs w:val="20"/>
                <w:color w:val="auto"/>
              </w:rPr>
            </w:pPr>
            <w:r>
              <w:rPr>
                <w:rFonts w:ascii="Times New Roman" w:cs="Times New Roman" w:eastAsia="Times New Roman" w:hAnsi="Times New Roman"/>
                <w:sz w:val="20"/>
                <w:szCs w:val="20"/>
                <w:color w:val="auto"/>
                <w:w w:val="98"/>
              </w:rPr>
              <w:t>England and Wales</w:t>
            </w:r>
          </w:p>
        </w:tc>
      </w:tr>
      <w:tr>
        <w:trPr>
          <w:trHeight w:val="278"/>
        </w:trPr>
        <w:tc>
          <w:tcPr>
            <w:tcW w:w="61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Investopedia Canada, Inc.</w:t>
            </w:r>
          </w:p>
        </w:tc>
        <w:tc>
          <w:tcPr>
            <w:tcW w:w="3940" w:type="dxa"/>
            <w:vAlign w:val="bottom"/>
          </w:tcPr>
          <w:p>
            <w:pPr>
              <w:jc w:val="center"/>
              <w:ind w:left="2261"/>
              <w:spacing w:after="0"/>
              <w:rPr>
                <w:sz w:val="20"/>
                <w:szCs w:val="20"/>
                <w:color w:val="auto"/>
              </w:rPr>
            </w:pPr>
            <w:r>
              <w:rPr>
                <w:rFonts w:ascii="Times New Roman" w:cs="Times New Roman" w:eastAsia="Times New Roman" w:hAnsi="Times New Roman"/>
                <w:sz w:val="20"/>
                <w:szCs w:val="20"/>
                <w:color w:val="auto"/>
                <w:w w:val="96"/>
              </w:rPr>
              <w:t>Canada</w:t>
            </w:r>
          </w:p>
        </w:tc>
      </w:tr>
      <w:tr>
        <w:trPr>
          <w:trHeight w:val="260"/>
        </w:trPr>
        <w:tc>
          <w:tcPr>
            <w:tcW w:w="61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Investopedia LLC</w:t>
            </w:r>
          </w:p>
        </w:tc>
        <w:tc>
          <w:tcPr>
            <w:tcW w:w="3940" w:type="dxa"/>
            <w:vAlign w:val="bottom"/>
          </w:tcPr>
          <w:p>
            <w:pPr>
              <w:jc w:val="center"/>
              <w:ind w:left="226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57"/>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iTranslate GmbH</w:t>
            </w:r>
          </w:p>
        </w:tc>
        <w:tc>
          <w:tcPr>
            <w:tcW w:w="3940" w:type="dxa"/>
            <w:vAlign w:val="bottom"/>
          </w:tcPr>
          <w:p>
            <w:pPr>
              <w:jc w:val="center"/>
              <w:ind w:left="2261"/>
              <w:spacing w:after="0"/>
              <w:rPr>
                <w:sz w:val="20"/>
                <w:szCs w:val="20"/>
                <w:color w:val="auto"/>
              </w:rPr>
            </w:pPr>
            <w:r>
              <w:rPr>
                <w:rFonts w:ascii="Times New Roman" w:cs="Times New Roman" w:eastAsia="Times New Roman" w:hAnsi="Times New Roman"/>
                <w:sz w:val="20"/>
                <w:szCs w:val="20"/>
                <w:color w:val="auto"/>
                <w:w w:val="98"/>
              </w:rPr>
              <w:t>Austria</w:t>
            </w:r>
          </w:p>
        </w:tc>
      </w:tr>
      <w:tr>
        <w:trPr>
          <w:trHeight w:val="258"/>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Kit Reno, Inc.</w:t>
            </w:r>
          </w:p>
        </w:tc>
        <w:tc>
          <w:tcPr>
            <w:tcW w:w="3940" w:type="dxa"/>
            <w:vAlign w:val="bottom"/>
          </w:tcPr>
          <w:p>
            <w:pPr>
              <w:jc w:val="center"/>
              <w:ind w:left="226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70"/>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League Sports Services LLC</w:t>
            </w:r>
          </w:p>
        </w:tc>
        <w:tc>
          <w:tcPr>
            <w:tcW w:w="3940" w:type="dxa"/>
            <w:vAlign w:val="bottom"/>
          </w:tcPr>
          <w:p>
            <w:pPr>
              <w:jc w:val="center"/>
              <w:ind w:left="2261"/>
              <w:spacing w:after="0"/>
              <w:rPr>
                <w:sz w:val="20"/>
                <w:szCs w:val="20"/>
                <w:color w:val="auto"/>
              </w:rPr>
            </w:pPr>
            <w:r>
              <w:rPr>
                <w:rFonts w:ascii="Times New Roman" w:cs="Times New Roman" w:eastAsia="Times New Roman" w:hAnsi="Times New Roman"/>
                <w:sz w:val="20"/>
                <w:szCs w:val="20"/>
                <w:color w:val="auto"/>
                <w:w w:val="97"/>
              </w:rPr>
              <w:t>New York</w:t>
            </w:r>
          </w:p>
        </w:tc>
      </w:tr>
      <w:tr>
        <w:trPr>
          <w:trHeight w:val="297"/>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LeagueAthletics.com LLC</w:t>
            </w:r>
          </w:p>
        </w:tc>
        <w:tc>
          <w:tcPr>
            <w:tcW w:w="3940" w:type="dxa"/>
            <w:vAlign w:val="bottom"/>
          </w:tcPr>
          <w:p>
            <w:pPr>
              <w:jc w:val="center"/>
              <w:ind w:left="2261"/>
              <w:spacing w:after="0"/>
              <w:rPr>
                <w:sz w:val="20"/>
                <w:szCs w:val="20"/>
                <w:color w:val="auto"/>
              </w:rPr>
            </w:pPr>
            <w:r>
              <w:rPr>
                <w:rFonts w:ascii="Times New Roman" w:cs="Times New Roman" w:eastAsia="Times New Roman" w:hAnsi="Times New Roman"/>
                <w:sz w:val="20"/>
                <w:szCs w:val="20"/>
                <w:color w:val="auto"/>
                <w:w w:val="96"/>
              </w:rPr>
              <w:t>Delaware</w:t>
            </w:r>
          </w:p>
        </w:tc>
      </w:tr>
    </w:tbl>
    <w:p>
      <w:pPr>
        <w:sectPr>
          <w:pgSz w:w="11900" w:h="16838" w:orient="portrait"/>
          <w:cols w:equalWidth="0" w:num="1">
            <w:col w:w="10860"/>
          </w:cols>
          <w:pgMar w:left="340" w:top="117" w:right="699" w:bottom="1021" w:gutter="0" w:footer="0" w:header="0"/>
        </w:sectPr>
      </w:pPr>
    </w:p>
    <w:bookmarkStart w:id="190" w:name="page191"/>
    <w:bookmarkEnd w:id="190"/>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860" w:type="dxa"/>
            <w:vAlign w:val="bottom"/>
          </w:tcPr>
          <w:p>
            <w:pPr>
              <w:spacing w:after="0"/>
              <w:rPr>
                <w:sz w:val="20"/>
                <w:szCs w:val="20"/>
                <w:color w:val="auto"/>
              </w:rPr>
            </w:pPr>
            <w:r>
              <w:rPr>
                <w:rFonts w:ascii="Times New Roman" w:cs="Times New Roman" w:eastAsia="Times New Roman" w:hAnsi="Times New Roman"/>
                <w:sz w:val="20"/>
                <w:szCs w:val="20"/>
                <w:color w:val="auto"/>
              </w:rPr>
              <w:t>Legacy AMS, LLC</w:t>
            </w:r>
          </w:p>
        </w:tc>
        <w:tc>
          <w:tcPr>
            <w:tcW w:w="4200" w:type="dxa"/>
            <w:vAlign w:val="bottom"/>
          </w:tcPr>
          <w:p>
            <w:pPr>
              <w:jc w:val="center"/>
              <w:ind w:left="256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72"/>
        </w:trPr>
        <w:tc>
          <w:tcPr>
            <w:tcW w:w="5860" w:type="dxa"/>
            <w:vAlign w:val="bottom"/>
          </w:tcPr>
          <w:p>
            <w:pPr>
              <w:spacing w:after="0"/>
              <w:rPr>
                <w:sz w:val="20"/>
                <w:szCs w:val="20"/>
                <w:color w:val="auto"/>
              </w:rPr>
            </w:pPr>
            <w:r>
              <w:rPr>
                <w:rFonts w:ascii="Times New Roman" w:cs="Times New Roman" w:eastAsia="Times New Roman" w:hAnsi="Times New Roman"/>
                <w:sz w:val="20"/>
                <w:szCs w:val="20"/>
                <w:color w:val="auto"/>
              </w:rPr>
              <w:t>Liberty Street Studios LLC</w:t>
            </w:r>
          </w:p>
        </w:tc>
        <w:tc>
          <w:tcPr>
            <w:tcW w:w="4200" w:type="dxa"/>
            <w:vAlign w:val="bottom"/>
          </w:tcPr>
          <w:p>
            <w:pPr>
              <w:jc w:val="center"/>
              <w:ind w:left="2561"/>
              <w:spacing w:after="0"/>
              <w:rPr>
                <w:sz w:val="20"/>
                <w:szCs w:val="20"/>
                <w:color w:val="auto"/>
              </w:rPr>
            </w:pPr>
            <w:r>
              <w:rPr>
                <w:rFonts w:ascii="Times New Roman" w:cs="Times New Roman" w:eastAsia="Times New Roman" w:hAnsi="Times New Roman"/>
                <w:sz w:val="20"/>
                <w:szCs w:val="20"/>
                <w:color w:val="auto"/>
                <w:w w:val="94"/>
              </w:rPr>
              <w:t>Iowa</w:t>
            </w:r>
          </w:p>
        </w:tc>
      </w:tr>
      <w:tr>
        <w:trPr>
          <w:trHeight w:val="297"/>
        </w:trPr>
        <w:tc>
          <w:tcPr>
            <w:tcW w:w="5860" w:type="dxa"/>
            <w:vAlign w:val="bottom"/>
          </w:tcPr>
          <w:p>
            <w:pPr>
              <w:spacing w:after="0"/>
              <w:rPr>
                <w:sz w:val="20"/>
                <w:szCs w:val="20"/>
                <w:color w:val="auto"/>
              </w:rPr>
            </w:pPr>
            <w:r>
              <w:rPr>
                <w:rFonts w:ascii="Times New Roman" w:cs="Times New Roman" w:eastAsia="Times New Roman" w:hAnsi="Times New Roman"/>
                <w:sz w:val="20"/>
                <w:szCs w:val="20"/>
                <w:color w:val="auto"/>
              </w:rPr>
              <w:t>Life Inc.</w:t>
            </w:r>
          </w:p>
        </w:tc>
        <w:tc>
          <w:tcPr>
            <w:tcW w:w="4200" w:type="dxa"/>
            <w:vAlign w:val="bottom"/>
          </w:tcPr>
          <w:p>
            <w:pPr>
              <w:jc w:val="center"/>
              <w:ind w:left="256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82"/>
        </w:trPr>
        <w:tc>
          <w:tcPr>
            <w:tcW w:w="5860" w:type="dxa"/>
            <w:vAlign w:val="bottom"/>
          </w:tcPr>
          <w:p>
            <w:pPr>
              <w:spacing w:after="0"/>
              <w:rPr>
                <w:sz w:val="20"/>
                <w:szCs w:val="20"/>
                <w:color w:val="auto"/>
              </w:rPr>
            </w:pPr>
            <w:r>
              <w:rPr>
                <w:rFonts w:ascii="Times New Roman" w:cs="Times New Roman" w:eastAsia="Times New Roman" w:hAnsi="Times New Roman"/>
                <w:sz w:val="20"/>
                <w:szCs w:val="20"/>
                <w:color w:val="auto"/>
              </w:rPr>
              <w:t>LifeCare Marketplace, Inc.</w:t>
            </w:r>
          </w:p>
        </w:tc>
        <w:tc>
          <w:tcPr>
            <w:tcW w:w="4200" w:type="dxa"/>
            <w:vAlign w:val="bottom"/>
          </w:tcPr>
          <w:p>
            <w:pPr>
              <w:jc w:val="center"/>
              <w:ind w:left="256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57"/>
        </w:trPr>
        <w:tc>
          <w:tcPr>
            <w:tcW w:w="5860" w:type="dxa"/>
            <w:vAlign w:val="bottom"/>
          </w:tcPr>
          <w:p>
            <w:pPr>
              <w:spacing w:after="0"/>
              <w:rPr>
                <w:sz w:val="20"/>
                <w:szCs w:val="20"/>
                <w:color w:val="auto"/>
              </w:rPr>
            </w:pPr>
            <w:r>
              <w:rPr>
                <w:rFonts w:ascii="Times New Roman" w:cs="Times New Roman" w:eastAsia="Times New Roman" w:hAnsi="Times New Roman"/>
                <w:sz w:val="20"/>
                <w:szCs w:val="20"/>
                <w:color w:val="auto"/>
              </w:rPr>
              <w:t>LifeCare, Inc.</w:t>
            </w:r>
          </w:p>
        </w:tc>
        <w:tc>
          <w:tcPr>
            <w:tcW w:w="4200" w:type="dxa"/>
            <w:vAlign w:val="bottom"/>
          </w:tcPr>
          <w:p>
            <w:pPr>
              <w:jc w:val="center"/>
              <w:ind w:left="256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57"/>
        </w:trPr>
        <w:tc>
          <w:tcPr>
            <w:tcW w:w="5860" w:type="dxa"/>
            <w:vAlign w:val="bottom"/>
          </w:tcPr>
          <w:p>
            <w:pPr>
              <w:spacing w:after="0"/>
              <w:rPr>
                <w:sz w:val="20"/>
                <w:szCs w:val="20"/>
                <w:color w:val="auto"/>
              </w:rPr>
            </w:pPr>
            <w:r>
              <w:rPr>
                <w:rFonts w:ascii="Times New Roman" w:cs="Times New Roman" w:eastAsia="Times New Roman" w:hAnsi="Times New Roman"/>
                <w:sz w:val="20"/>
                <w:szCs w:val="20"/>
                <w:color w:val="auto"/>
              </w:rPr>
              <w:t>LifeMart Insurance Services, Inc.</w:t>
            </w:r>
          </w:p>
        </w:tc>
        <w:tc>
          <w:tcPr>
            <w:tcW w:w="4200" w:type="dxa"/>
            <w:vAlign w:val="bottom"/>
          </w:tcPr>
          <w:p>
            <w:pPr>
              <w:jc w:val="center"/>
              <w:ind w:left="256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56"/>
        </w:trPr>
        <w:tc>
          <w:tcPr>
            <w:tcW w:w="5860" w:type="dxa"/>
            <w:vAlign w:val="bottom"/>
          </w:tcPr>
          <w:p>
            <w:pPr>
              <w:spacing w:after="0"/>
              <w:rPr>
                <w:sz w:val="20"/>
                <w:szCs w:val="20"/>
                <w:color w:val="auto"/>
              </w:rPr>
            </w:pPr>
            <w:r>
              <w:rPr>
                <w:rFonts w:ascii="Times New Roman" w:cs="Times New Roman" w:eastAsia="Times New Roman" w:hAnsi="Times New Roman"/>
                <w:sz w:val="20"/>
                <w:szCs w:val="20"/>
                <w:color w:val="auto"/>
              </w:rPr>
              <w:t>LMIS Captive Corporation</w:t>
            </w:r>
          </w:p>
        </w:tc>
        <w:tc>
          <w:tcPr>
            <w:tcW w:w="4200" w:type="dxa"/>
            <w:vAlign w:val="bottom"/>
          </w:tcPr>
          <w:p>
            <w:pPr>
              <w:jc w:val="center"/>
              <w:ind w:left="2561"/>
              <w:spacing w:after="0"/>
              <w:rPr>
                <w:sz w:val="20"/>
                <w:szCs w:val="20"/>
                <w:color w:val="auto"/>
              </w:rPr>
            </w:pPr>
            <w:r>
              <w:rPr>
                <w:rFonts w:ascii="Times New Roman" w:cs="Times New Roman" w:eastAsia="Times New Roman" w:hAnsi="Times New Roman"/>
                <w:sz w:val="20"/>
                <w:szCs w:val="20"/>
                <w:color w:val="auto"/>
                <w:w w:val="98"/>
              </w:rPr>
              <w:t>Vermont</w:t>
            </w:r>
          </w:p>
        </w:tc>
      </w:tr>
      <w:tr>
        <w:trPr>
          <w:trHeight w:val="272"/>
        </w:trPr>
        <w:tc>
          <w:tcPr>
            <w:tcW w:w="5860" w:type="dxa"/>
            <w:vAlign w:val="bottom"/>
          </w:tcPr>
          <w:p>
            <w:pPr>
              <w:spacing w:after="0"/>
              <w:rPr>
                <w:sz w:val="20"/>
                <w:szCs w:val="20"/>
                <w:color w:val="auto"/>
              </w:rPr>
            </w:pPr>
            <w:r>
              <w:rPr>
                <w:rFonts w:ascii="Times New Roman" w:cs="Times New Roman" w:eastAsia="Times New Roman" w:hAnsi="Times New Roman"/>
                <w:sz w:val="20"/>
                <w:szCs w:val="20"/>
                <w:color w:val="auto"/>
              </w:rPr>
              <w:t>Locust Street Studios LLC</w:t>
            </w:r>
          </w:p>
        </w:tc>
        <w:tc>
          <w:tcPr>
            <w:tcW w:w="4200" w:type="dxa"/>
            <w:vAlign w:val="bottom"/>
          </w:tcPr>
          <w:p>
            <w:pPr>
              <w:jc w:val="center"/>
              <w:ind w:left="2561"/>
              <w:spacing w:after="0"/>
              <w:rPr>
                <w:sz w:val="20"/>
                <w:szCs w:val="20"/>
                <w:color w:val="auto"/>
              </w:rPr>
            </w:pPr>
            <w:r>
              <w:rPr>
                <w:rFonts w:ascii="Times New Roman" w:cs="Times New Roman" w:eastAsia="Times New Roman" w:hAnsi="Times New Roman"/>
                <w:sz w:val="20"/>
                <w:szCs w:val="20"/>
                <w:color w:val="auto"/>
                <w:w w:val="94"/>
              </w:rPr>
              <w:t>Iowa</w:t>
            </w:r>
          </w:p>
        </w:tc>
      </w:tr>
      <w:tr>
        <w:trPr>
          <w:trHeight w:val="297"/>
        </w:trPr>
        <w:tc>
          <w:tcPr>
            <w:tcW w:w="5860" w:type="dxa"/>
            <w:vAlign w:val="bottom"/>
          </w:tcPr>
          <w:p>
            <w:pPr>
              <w:spacing w:after="0"/>
              <w:rPr>
                <w:sz w:val="20"/>
                <w:szCs w:val="20"/>
                <w:color w:val="auto"/>
              </w:rPr>
            </w:pPr>
            <w:r>
              <w:rPr>
                <w:rFonts w:ascii="Times New Roman" w:cs="Times New Roman" w:eastAsia="Times New Roman" w:hAnsi="Times New Roman"/>
                <w:sz w:val="20"/>
                <w:szCs w:val="20"/>
                <w:color w:val="auto"/>
              </w:rPr>
              <w:t>Loyalty Extras, Inc.</w:t>
            </w:r>
          </w:p>
        </w:tc>
        <w:tc>
          <w:tcPr>
            <w:tcW w:w="4200" w:type="dxa"/>
            <w:vAlign w:val="bottom"/>
          </w:tcPr>
          <w:p>
            <w:pPr>
              <w:jc w:val="center"/>
              <w:ind w:left="256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97"/>
        </w:trPr>
        <w:tc>
          <w:tcPr>
            <w:tcW w:w="5860" w:type="dxa"/>
            <w:vAlign w:val="bottom"/>
          </w:tcPr>
          <w:p>
            <w:pPr>
              <w:spacing w:after="0"/>
              <w:rPr>
                <w:sz w:val="20"/>
                <w:szCs w:val="20"/>
                <w:color w:val="auto"/>
              </w:rPr>
            </w:pPr>
            <w:r>
              <w:rPr>
                <w:rFonts w:ascii="Times New Roman" w:cs="Times New Roman" w:eastAsia="Times New Roman" w:hAnsi="Times New Roman"/>
                <w:sz w:val="20"/>
                <w:szCs w:val="20"/>
                <w:color w:val="auto"/>
              </w:rPr>
              <w:t>Maghound Enterprises Inc.</w:t>
            </w:r>
          </w:p>
        </w:tc>
        <w:tc>
          <w:tcPr>
            <w:tcW w:w="4200" w:type="dxa"/>
            <w:vAlign w:val="bottom"/>
          </w:tcPr>
          <w:p>
            <w:pPr>
              <w:jc w:val="center"/>
              <w:ind w:left="256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97"/>
        </w:trPr>
        <w:tc>
          <w:tcPr>
            <w:tcW w:w="5860" w:type="dxa"/>
            <w:vAlign w:val="bottom"/>
          </w:tcPr>
          <w:p>
            <w:pPr>
              <w:spacing w:after="0"/>
              <w:rPr>
                <w:sz w:val="20"/>
                <w:szCs w:val="20"/>
                <w:color w:val="auto"/>
              </w:rPr>
            </w:pPr>
            <w:r>
              <w:rPr>
                <w:rFonts w:ascii="Times New Roman" w:cs="Times New Roman" w:eastAsia="Times New Roman" w:hAnsi="Times New Roman"/>
                <w:sz w:val="20"/>
                <w:szCs w:val="20"/>
                <w:color w:val="auto"/>
              </w:rPr>
              <w:t>Meredith Funding Corporation</w:t>
            </w:r>
          </w:p>
        </w:tc>
        <w:tc>
          <w:tcPr>
            <w:tcW w:w="4200" w:type="dxa"/>
            <w:vAlign w:val="bottom"/>
          </w:tcPr>
          <w:p>
            <w:pPr>
              <w:jc w:val="center"/>
              <w:ind w:left="256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82"/>
        </w:trPr>
        <w:tc>
          <w:tcPr>
            <w:tcW w:w="5860" w:type="dxa"/>
            <w:vAlign w:val="bottom"/>
          </w:tcPr>
          <w:p>
            <w:pPr>
              <w:spacing w:after="0"/>
              <w:rPr>
                <w:sz w:val="20"/>
                <w:szCs w:val="20"/>
                <w:color w:val="auto"/>
              </w:rPr>
            </w:pPr>
            <w:r>
              <w:rPr>
                <w:rFonts w:ascii="Times New Roman" w:cs="Times New Roman" w:eastAsia="Times New Roman" w:hAnsi="Times New Roman"/>
                <w:sz w:val="20"/>
                <w:szCs w:val="20"/>
                <w:color w:val="auto"/>
              </w:rPr>
              <w:t>Meredith Gift Cards, LLC</w:t>
            </w:r>
          </w:p>
        </w:tc>
        <w:tc>
          <w:tcPr>
            <w:tcW w:w="4200" w:type="dxa"/>
            <w:vAlign w:val="bottom"/>
          </w:tcPr>
          <w:p>
            <w:pPr>
              <w:jc w:val="center"/>
              <w:ind w:left="2561"/>
              <w:spacing w:after="0"/>
              <w:rPr>
                <w:sz w:val="20"/>
                <w:szCs w:val="20"/>
                <w:color w:val="auto"/>
              </w:rPr>
            </w:pPr>
            <w:r>
              <w:rPr>
                <w:rFonts w:ascii="Times New Roman" w:cs="Times New Roman" w:eastAsia="Times New Roman" w:hAnsi="Times New Roman"/>
                <w:sz w:val="20"/>
                <w:szCs w:val="20"/>
                <w:color w:val="auto"/>
                <w:w w:val="94"/>
              </w:rPr>
              <w:t>Ohio</w:t>
            </w:r>
          </w:p>
        </w:tc>
      </w:tr>
      <w:tr>
        <w:trPr>
          <w:trHeight w:val="272"/>
        </w:trPr>
        <w:tc>
          <w:tcPr>
            <w:tcW w:w="5860" w:type="dxa"/>
            <w:vAlign w:val="bottom"/>
          </w:tcPr>
          <w:p>
            <w:pPr>
              <w:spacing w:after="0"/>
              <w:rPr>
                <w:sz w:val="20"/>
                <w:szCs w:val="20"/>
                <w:color w:val="auto"/>
              </w:rPr>
            </w:pPr>
            <w:r>
              <w:rPr>
                <w:rFonts w:ascii="Times New Roman" w:cs="Times New Roman" w:eastAsia="Times New Roman" w:hAnsi="Times New Roman"/>
                <w:sz w:val="20"/>
                <w:szCs w:val="20"/>
                <w:color w:val="auto"/>
              </w:rPr>
              <w:t>Meredith Holding Company</w:t>
            </w:r>
          </w:p>
        </w:tc>
        <w:tc>
          <w:tcPr>
            <w:tcW w:w="4200" w:type="dxa"/>
            <w:vAlign w:val="bottom"/>
          </w:tcPr>
          <w:p>
            <w:pPr>
              <w:jc w:val="center"/>
              <w:ind w:left="2561"/>
              <w:spacing w:after="0"/>
              <w:rPr>
                <w:sz w:val="20"/>
                <w:szCs w:val="20"/>
                <w:color w:val="auto"/>
              </w:rPr>
            </w:pPr>
            <w:r>
              <w:rPr>
                <w:rFonts w:ascii="Times New Roman" w:cs="Times New Roman" w:eastAsia="Times New Roman" w:hAnsi="Times New Roman"/>
                <w:sz w:val="20"/>
                <w:szCs w:val="20"/>
                <w:color w:val="auto"/>
                <w:w w:val="94"/>
              </w:rPr>
              <w:t>Iowa</w:t>
            </w:r>
          </w:p>
        </w:tc>
      </w:tr>
      <w:tr>
        <w:trPr>
          <w:trHeight w:val="282"/>
        </w:trPr>
        <w:tc>
          <w:tcPr>
            <w:tcW w:w="5860" w:type="dxa"/>
            <w:vAlign w:val="bottom"/>
          </w:tcPr>
          <w:p>
            <w:pPr>
              <w:spacing w:after="0"/>
              <w:rPr>
                <w:sz w:val="20"/>
                <w:szCs w:val="20"/>
                <w:color w:val="auto"/>
              </w:rPr>
            </w:pPr>
            <w:r>
              <w:rPr>
                <w:rFonts w:ascii="Times New Roman" w:cs="Times New Roman" w:eastAsia="Times New Roman" w:hAnsi="Times New Roman"/>
                <w:sz w:val="20"/>
                <w:szCs w:val="20"/>
                <w:color w:val="auto"/>
              </w:rPr>
              <w:t>Meredith Holdings Corporation</w:t>
            </w:r>
          </w:p>
        </w:tc>
        <w:tc>
          <w:tcPr>
            <w:tcW w:w="4200" w:type="dxa"/>
            <w:vAlign w:val="bottom"/>
          </w:tcPr>
          <w:p>
            <w:pPr>
              <w:jc w:val="center"/>
              <w:ind w:left="2561"/>
              <w:spacing w:after="0"/>
              <w:rPr>
                <w:sz w:val="20"/>
                <w:szCs w:val="20"/>
                <w:color w:val="auto"/>
              </w:rPr>
            </w:pPr>
            <w:r>
              <w:rPr>
                <w:rFonts w:ascii="Times New Roman" w:cs="Times New Roman" w:eastAsia="Times New Roman" w:hAnsi="Times New Roman"/>
                <w:sz w:val="20"/>
                <w:szCs w:val="20"/>
                <w:color w:val="auto"/>
                <w:w w:val="94"/>
              </w:rPr>
              <w:t>Iowa</w:t>
            </w:r>
          </w:p>
        </w:tc>
      </w:tr>
      <w:tr>
        <w:trPr>
          <w:trHeight w:val="257"/>
        </w:trPr>
        <w:tc>
          <w:tcPr>
            <w:tcW w:w="5860" w:type="dxa"/>
            <w:vAlign w:val="bottom"/>
          </w:tcPr>
          <w:p>
            <w:pPr>
              <w:spacing w:after="0"/>
              <w:rPr>
                <w:sz w:val="20"/>
                <w:szCs w:val="20"/>
                <w:color w:val="auto"/>
              </w:rPr>
            </w:pPr>
            <w:r>
              <w:rPr>
                <w:rFonts w:ascii="Times New Roman" w:cs="Times New Roman" w:eastAsia="Times New Roman" w:hAnsi="Times New Roman"/>
                <w:sz w:val="20"/>
                <w:szCs w:val="20"/>
                <w:color w:val="auto"/>
              </w:rPr>
              <w:t>Meredith India Services Private Limited</w:t>
            </w:r>
          </w:p>
        </w:tc>
        <w:tc>
          <w:tcPr>
            <w:tcW w:w="4200" w:type="dxa"/>
            <w:vAlign w:val="bottom"/>
          </w:tcPr>
          <w:p>
            <w:pPr>
              <w:jc w:val="center"/>
              <w:ind w:left="2561"/>
              <w:spacing w:after="0"/>
              <w:rPr>
                <w:sz w:val="20"/>
                <w:szCs w:val="20"/>
                <w:color w:val="auto"/>
              </w:rPr>
            </w:pPr>
            <w:r>
              <w:rPr>
                <w:rFonts w:ascii="Times New Roman" w:cs="Times New Roman" w:eastAsia="Times New Roman" w:hAnsi="Times New Roman"/>
                <w:sz w:val="20"/>
                <w:szCs w:val="20"/>
                <w:color w:val="auto"/>
              </w:rPr>
              <w:t>India</w:t>
            </w:r>
          </w:p>
        </w:tc>
      </w:tr>
      <w:tr>
        <w:trPr>
          <w:trHeight w:val="272"/>
        </w:trPr>
        <w:tc>
          <w:tcPr>
            <w:tcW w:w="5860" w:type="dxa"/>
            <w:vAlign w:val="bottom"/>
          </w:tcPr>
          <w:p>
            <w:pPr>
              <w:spacing w:after="0"/>
              <w:rPr>
                <w:sz w:val="20"/>
                <w:szCs w:val="20"/>
                <w:color w:val="auto"/>
              </w:rPr>
            </w:pPr>
            <w:r>
              <w:rPr>
                <w:rFonts w:ascii="Times New Roman" w:cs="Times New Roman" w:eastAsia="Times New Roman" w:hAnsi="Times New Roman"/>
                <w:sz w:val="20"/>
                <w:szCs w:val="20"/>
                <w:color w:val="auto"/>
              </w:rPr>
              <w:t>Meredith Lifestyle Marketing, LLC</w:t>
            </w:r>
          </w:p>
        </w:tc>
        <w:tc>
          <w:tcPr>
            <w:tcW w:w="4200" w:type="dxa"/>
            <w:vAlign w:val="bottom"/>
          </w:tcPr>
          <w:p>
            <w:pPr>
              <w:jc w:val="center"/>
              <w:ind w:left="2561"/>
              <w:spacing w:after="0"/>
              <w:rPr>
                <w:sz w:val="20"/>
                <w:szCs w:val="20"/>
                <w:color w:val="auto"/>
              </w:rPr>
            </w:pPr>
            <w:r>
              <w:rPr>
                <w:rFonts w:ascii="Times New Roman" w:cs="Times New Roman" w:eastAsia="Times New Roman" w:hAnsi="Times New Roman"/>
                <w:sz w:val="20"/>
                <w:szCs w:val="20"/>
                <w:color w:val="auto"/>
                <w:w w:val="94"/>
              </w:rPr>
              <w:t>Iowa</w:t>
            </w:r>
          </w:p>
        </w:tc>
      </w:tr>
      <w:tr>
        <w:trPr>
          <w:trHeight w:val="297"/>
        </w:trPr>
        <w:tc>
          <w:tcPr>
            <w:tcW w:w="5860" w:type="dxa"/>
            <w:vAlign w:val="bottom"/>
          </w:tcPr>
          <w:p>
            <w:pPr>
              <w:spacing w:after="0"/>
              <w:rPr>
                <w:sz w:val="20"/>
                <w:szCs w:val="20"/>
                <w:color w:val="auto"/>
              </w:rPr>
            </w:pPr>
            <w:r>
              <w:rPr>
                <w:rFonts w:ascii="Times New Roman" w:cs="Times New Roman" w:eastAsia="Times New Roman" w:hAnsi="Times New Roman"/>
                <w:sz w:val="20"/>
                <w:szCs w:val="20"/>
                <w:color w:val="auto"/>
              </w:rPr>
              <w:t>Meredith Operations Corporation</w:t>
            </w:r>
          </w:p>
        </w:tc>
        <w:tc>
          <w:tcPr>
            <w:tcW w:w="4200" w:type="dxa"/>
            <w:vAlign w:val="bottom"/>
          </w:tcPr>
          <w:p>
            <w:pPr>
              <w:jc w:val="center"/>
              <w:ind w:left="2561"/>
              <w:spacing w:after="0"/>
              <w:rPr>
                <w:sz w:val="20"/>
                <w:szCs w:val="20"/>
                <w:color w:val="auto"/>
              </w:rPr>
            </w:pPr>
            <w:r>
              <w:rPr>
                <w:rFonts w:ascii="Times New Roman" w:cs="Times New Roman" w:eastAsia="Times New Roman" w:hAnsi="Times New Roman"/>
                <w:sz w:val="20"/>
                <w:szCs w:val="20"/>
                <w:color w:val="auto"/>
                <w:w w:val="94"/>
              </w:rPr>
              <w:t>Iowa</w:t>
            </w:r>
          </w:p>
        </w:tc>
      </w:tr>
      <w:tr>
        <w:trPr>
          <w:trHeight w:val="297"/>
        </w:trPr>
        <w:tc>
          <w:tcPr>
            <w:tcW w:w="5860" w:type="dxa"/>
            <w:vAlign w:val="bottom"/>
          </w:tcPr>
          <w:p>
            <w:pPr>
              <w:spacing w:after="0"/>
              <w:rPr>
                <w:sz w:val="20"/>
                <w:szCs w:val="20"/>
                <w:color w:val="auto"/>
              </w:rPr>
            </w:pPr>
            <w:r>
              <w:rPr>
                <w:rFonts w:ascii="Times New Roman" w:cs="Times New Roman" w:eastAsia="Times New Roman" w:hAnsi="Times New Roman"/>
                <w:sz w:val="20"/>
                <w:szCs w:val="20"/>
                <w:color w:val="auto"/>
              </w:rPr>
              <w:t>Meredith Pension Trustee Ltd.</w:t>
            </w:r>
          </w:p>
        </w:tc>
        <w:tc>
          <w:tcPr>
            <w:tcW w:w="4200" w:type="dxa"/>
            <w:vAlign w:val="bottom"/>
          </w:tcPr>
          <w:p>
            <w:pPr>
              <w:jc w:val="center"/>
              <w:ind w:left="2561"/>
              <w:spacing w:after="0"/>
              <w:rPr>
                <w:sz w:val="20"/>
                <w:szCs w:val="20"/>
                <w:color w:val="auto"/>
              </w:rPr>
            </w:pPr>
            <w:r>
              <w:rPr>
                <w:rFonts w:ascii="Times New Roman" w:cs="Times New Roman" w:eastAsia="Times New Roman" w:hAnsi="Times New Roman"/>
                <w:sz w:val="20"/>
                <w:szCs w:val="20"/>
                <w:color w:val="auto"/>
                <w:w w:val="98"/>
              </w:rPr>
              <w:t>England and Wales</w:t>
            </w:r>
          </w:p>
        </w:tc>
      </w:tr>
      <w:tr>
        <w:trPr>
          <w:trHeight w:val="297"/>
        </w:trPr>
        <w:tc>
          <w:tcPr>
            <w:tcW w:w="5860" w:type="dxa"/>
            <w:vAlign w:val="bottom"/>
          </w:tcPr>
          <w:p>
            <w:pPr>
              <w:spacing w:after="0"/>
              <w:rPr>
                <w:sz w:val="20"/>
                <w:szCs w:val="20"/>
                <w:color w:val="auto"/>
              </w:rPr>
            </w:pPr>
            <w:r>
              <w:rPr>
                <w:rFonts w:ascii="Times New Roman" w:cs="Times New Roman" w:eastAsia="Times New Roman" w:hAnsi="Times New Roman"/>
                <w:sz w:val="20"/>
                <w:szCs w:val="20"/>
                <w:color w:val="auto"/>
              </w:rPr>
              <w:t>Meredith Performance Marketing, LLC</w:t>
            </w:r>
          </w:p>
        </w:tc>
        <w:tc>
          <w:tcPr>
            <w:tcW w:w="4200" w:type="dxa"/>
            <w:vAlign w:val="bottom"/>
          </w:tcPr>
          <w:p>
            <w:pPr>
              <w:jc w:val="center"/>
              <w:ind w:left="2561"/>
              <w:spacing w:after="0"/>
              <w:rPr>
                <w:sz w:val="20"/>
                <w:szCs w:val="20"/>
                <w:color w:val="auto"/>
              </w:rPr>
            </w:pPr>
            <w:r>
              <w:rPr>
                <w:rFonts w:ascii="Times New Roman" w:cs="Times New Roman" w:eastAsia="Times New Roman" w:hAnsi="Times New Roman"/>
                <w:sz w:val="20"/>
                <w:szCs w:val="20"/>
                <w:color w:val="auto"/>
                <w:w w:val="94"/>
              </w:rPr>
              <w:t>Iowa</w:t>
            </w:r>
          </w:p>
        </w:tc>
      </w:tr>
      <w:tr>
        <w:trPr>
          <w:trHeight w:val="297"/>
        </w:trPr>
        <w:tc>
          <w:tcPr>
            <w:tcW w:w="5860" w:type="dxa"/>
            <w:vAlign w:val="bottom"/>
          </w:tcPr>
          <w:p>
            <w:pPr>
              <w:spacing w:after="0"/>
              <w:rPr>
                <w:sz w:val="20"/>
                <w:szCs w:val="20"/>
                <w:color w:val="auto"/>
              </w:rPr>
            </w:pPr>
            <w:r>
              <w:rPr>
                <w:rFonts w:ascii="Times New Roman" w:cs="Times New Roman" w:eastAsia="Times New Roman" w:hAnsi="Times New Roman"/>
                <w:sz w:val="20"/>
                <w:szCs w:val="20"/>
                <w:color w:val="auto"/>
              </w:rPr>
              <w:t>Meredith Shopper Marketing, LLC</w:t>
            </w:r>
          </w:p>
        </w:tc>
        <w:tc>
          <w:tcPr>
            <w:tcW w:w="4200" w:type="dxa"/>
            <w:vAlign w:val="bottom"/>
          </w:tcPr>
          <w:p>
            <w:pPr>
              <w:jc w:val="center"/>
              <w:ind w:left="2561"/>
              <w:spacing w:after="0"/>
              <w:rPr>
                <w:sz w:val="20"/>
                <w:szCs w:val="20"/>
                <w:color w:val="auto"/>
              </w:rPr>
            </w:pPr>
            <w:r>
              <w:rPr>
                <w:rFonts w:ascii="Times New Roman" w:cs="Times New Roman" w:eastAsia="Times New Roman" w:hAnsi="Times New Roman"/>
                <w:sz w:val="20"/>
                <w:szCs w:val="20"/>
                <w:color w:val="auto"/>
                <w:w w:val="94"/>
              </w:rPr>
              <w:t>Iowa</w:t>
            </w:r>
          </w:p>
        </w:tc>
      </w:tr>
      <w:tr>
        <w:trPr>
          <w:trHeight w:val="297"/>
        </w:trPr>
        <w:tc>
          <w:tcPr>
            <w:tcW w:w="5860" w:type="dxa"/>
            <w:vAlign w:val="bottom"/>
          </w:tcPr>
          <w:p>
            <w:pPr>
              <w:spacing w:after="0"/>
              <w:rPr>
                <w:sz w:val="20"/>
                <w:szCs w:val="20"/>
                <w:color w:val="auto"/>
              </w:rPr>
            </w:pPr>
            <w:r>
              <w:rPr>
                <w:rFonts w:ascii="Times New Roman" w:cs="Times New Roman" w:eastAsia="Times New Roman" w:hAnsi="Times New Roman"/>
                <w:sz w:val="20"/>
                <w:szCs w:val="20"/>
                <w:color w:val="auto"/>
              </w:rPr>
              <w:t>Mexico Magazines Holdings LLC</w:t>
            </w:r>
          </w:p>
        </w:tc>
        <w:tc>
          <w:tcPr>
            <w:tcW w:w="4200" w:type="dxa"/>
            <w:vAlign w:val="bottom"/>
          </w:tcPr>
          <w:p>
            <w:pPr>
              <w:jc w:val="center"/>
              <w:ind w:left="256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82"/>
        </w:trPr>
        <w:tc>
          <w:tcPr>
            <w:tcW w:w="5860" w:type="dxa"/>
            <w:vAlign w:val="bottom"/>
          </w:tcPr>
          <w:p>
            <w:pPr>
              <w:spacing w:after="0"/>
              <w:rPr>
                <w:sz w:val="20"/>
                <w:szCs w:val="20"/>
                <w:color w:val="auto"/>
              </w:rPr>
            </w:pPr>
            <w:r>
              <w:rPr>
                <w:rFonts w:ascii="Times New Roman" w:cs="Times New Roman" w:eastAsia="Times New Roman" w:hAnsi="Times New Roman"/>
                <w:sz w:val="20"/>
                <w:szCs w:val="20"/>
                <w:color w:val="auto"/>
              </w:rPr>
              <w:t>Mhelpdesk, Inc.</w:t>
            </w:r>
          </w:p>
        </w:tc>
        <w:tc>
          <w:tcPr>
            <w:tcW w:w="4200" w:type="dxa"/>
            <w:vAlign w:val="bottom"/>
          </w:tcPr>
          <w:p>
            <w:pPr>
              <w:jc w:val="center"/>
              <w:ind w:left="256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72"/>
        </w:trPr>
        <w:tc>
          <w:tcPr>
            <w:tcW w:w="5860" w:type="dxa"/>
            <w:vAlign w:val="bottom"/>
          </w:tcPr>
          <w:p>
            <w:pPr>
              <w:spacing w:after="0"/>
              <w:rPr>
                <w:sz w:val="20"/>
                <w:szCs w:val="20"/>
                <w:color w:val="auto"/>
              </w:rPr>
            </w:pPr>
            <w:r>
              <w:rPr>
                <w:rFonts w:ascii="Times New Roman" w:cs="Times New Roman" w:eastAsia="Times New Roman" w:hAnsi="Times New Roman"/>
                <w:sz w:val="20"/>
                <w:szCs w:val="20"/>
                <w:color w:val="auto"/>
              </w:rPr>
              <w:t>MNI Targeted Media Inc.</w:t>
            </w:r>
          </w:p>
        </w:tc>
        <w:tc>
          <w:tcPr>
            <w:tcW w:w="4200" w:type="dxa"/>
            <w:vAlign w:val="bottom"/>
          </w:tcPr>
          <w:p>
            <w:pPr>
              <w:jc w:val="center"/>
              <w:ind w:left="256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82"/>
        </w:trPr>
        <w:tc>
          <w:tcPr>
            <w:tcW w:w="5860" w:type="dxa"/>
            <w:vAlign w:val="bottom"/>
          </w:tcPr>
          <w:p>
            <w:pPr>
              <w:spacing w:after="0"/>
              <w:rPr>
                <w:sz w:val="20"/>
                <w:szCs w:val="20"/>
                <w:color w:val="auto"/>
              </w:rPr>
            </w:pPr>
            <w:r>
              <w:rPr>
                <w:rFonts w:ascii="Times New Roman" w:cs="Times New Roman" w:eastAsia="Times New Roman" w:hAnsi="Times New Roman"/>
                <w:sz w:val="20"/>
                <w:szCs w:val="20"/>
                <w:color w:val="auto"/>
              </w:rPr>
              <w:t>Mosaic Croatia d.o.o</w:t>
            </w:r>
          </w:p>
        </w:tc>
        <w:tc>
          <w:tcPr>
            <w:tcW w:w="4200" w:type="dxa"/>
            <w:vAlign w:val="bottom"/>
          </w:tcPr>
          <w:p>
            <w:pPr>
              <w:jc w:val="center"/>
              <w:ind w:left="2561"/>
              <w:spacing w:after="0"/>
              <w:rPr>
                <w:sz w:val="20"/>
                <w:szCs w:val="20"/>
                <w:color w:val="auto"/>
              </w:rPr>
            </w:pPr>
            <w:r>
              <w:rPr>
                <w:rFonts w:ascii="Times New Roman" w:cs="Times New Roman" w:eastAsia="Times New Roman" w:hAnsi="Times New Roman"/>
                <w:sz w:val="20"/>
                <w:szCs w:val="20"/>
                <w:color w:val="auto"/>
                <w:w w:val="98"/>
              </w:rPr>
              <w:t>Croatia</w:t>
            </w:r>
          </w:p>
        </w:tc>
      </w:tr>
      <w:tr>
        <w:trPr>
          <w:trHeight w:val="256"/>
        </w:trPr>
        <w:tc>
          <w:tcPr>
            <w:tcW w:w="5860" w:type="dxa"/>
            <w:vAlign w:val="bottom"/>
          </w:tcPr>
          <w:p>
            <w:pPr>
              <w:spacing w:after="0"/>
              <w:rPr>
                <w:sz w:val="20"/>
                <w:szCs w:val="20"/>
                <w:color w:val="auto"/>
              </w:rPr>
            </w:pPr>
            <w:r>
              <w:rPr>
                <w:rFonts w:ascii="Times New Roman" w:cs="Times New Roman" w:eastAsia="Times New Roman" w:hAnsi="Times New Roman"/>
                <w:sz w:val="20"/>
                <w:szCs w:val="20"/>
                <w:color w:val="auto"/>
              </w:rPr>
              <w:t>Mosaic Group Holdings, LLC</w:t>
            </w:r>
          </w:p>
        </w:tc>
        <w:tc>
          <w:tcPr>
            <w:tcW w:w="4200" w:type="dxa"/>
            <w:vAlign w:val="bottom"/>
          </w:tcPr>
          <w:p>
            <w:pPr>
              <w:jc w:val="center"/>
              <w:ind w:left="256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57"/>
        </w:trPr>
        <w:tc>
          <w:tcPr>
            <w:tcW w:w="5860" w:type="dxa"/>
            <w:vAlign w:val="bottom"/>
          </w:tcPr>
          <w:p>
            <w:pPr>
              <w:spacing w:after="0"/>
              <w:rPr>
                <w:sz w:val="20"/>
                <w:szCs w:val="20"/>
                <w:color w:val="auto"/>
              </w:rPr>
            </w:pPr>
            <w:r>
              <w:rPr>
                <w:rFonts w:ascii="Times New Roman" w:cs="Times New Roman" w:eastAsia="Times New Roman" w:hAnsi="Times New Roman"/>
                <w:sz w:val="20"/>
                <w:szCs w:val="20"/>
                <w:color w:val="auto"/>
              </w:rPr>
              <w:t>Mosaic Poland sp.z.o.o.</w:t>
            </w:r>
          </w:p>
        </w:tc>
        <w:tc>
          <w:tcPr>
            <w:tcW w:w="4200" w:type="dxa"/>
            <w:vAlign w:val="bottom"/>
          </w:tcPr>
          <w:p>
            <w:pPr>
              <w:jc w:val="center"/>
              <w:ind w:left="2561"/>
              <w:spacing w:after="0"/>
              <w:rPr>
                <w:sz w:val="20"/>
                <w:szCs w:val="20"/>
                <w:color w:val="auto"/>
              </w:rPr>
            </w:pPr>
            <w:r>
              <w:rPr>
                <w:rFonts w:ascii="Times New Roman" w:cs="Times New Roman" w:eastAsia="Times New Roman" w:hAnsi="Times New Roman"/>
                <w:sz w:val="20"/>
                <w:szCs w:val="20"/>
                <w:color w:val="auto"/>
                <w:w w:val="97"/>
              </w:rPr>
              <w:t>Poland</w:t>
            </w:r>
          </w:p>
        </w:tc>
      </w:tr>
      <w:tr>
        <w:trPr>
          <w:trHeight w:val="256"/>
        </w:trPr>
        <w:tc>
          <w:tcPr>
            <w:tcW w:w="5860" w:type="dxa"/>
            <w:vAlign w:val="bottom"/>
          </w:tcPr>
          <w:p>
            <w:pPr>
              <w:spacing w:after="0"/>
              <w:rPr>
                <w:sz w:val="20"/>
                <w:szCs w:val="20"/>
                <w:color w:val="auto"/>
              </w:rPr>
            </w:pPr>
            <w:r>
              <w:rPr>
                <w:rFonts w:ascii="Times New Roman" w:cs="Times New Roman" w:eastAsia="Times New Roman" w:hAnsi="Times New Roman"/>
                <w:sz w:val="20"/>
                <w:szCs w:val="20"/>
                <w:color w:val="auto"/>
              </w:rPr>
              <w:t>MyBuilder Limited</w:t>
            </w:r>
          </w:p>
        </w:tc>
        <w:tc>
          <w:tcPr>
            <w:tcW w:w="4200" w:type="dxa"/>
            <w:vAlign w:val="bottom"/>
          </w:tcPr>
          <w:p>
            <w:pPr>
              <w:jc w:val="center"/>
              <w:ind w:left="2561"/>
              <w:spacing w:after="0"/>
              <w:rPr>
                <w:sz w:val="20"/>
                <w:szCs w:val="20"/>
                <w:color w:val="auto"/>
              </w:rPr>
            </w:pPr>
            <w:r>
              <w:rPr>
                <w:rFonts w:ascii="Times New Roman" w:cs="Times New Roman" w:eastAsia="Times New Roman" w:hAnsi="Times New Roman"/>
                <w:sz w:val="20"/>
                <w:szCs w:val="20"/>
                <w:color w:val="auto"/>
                <w:w w:val="98"/>
              </w:rPr>
              <w:t>England and Wales</w:t>
            </w:r>
          </w:p>
        </w:tc>
      </w:tr>
      <w:tr>
        <w:trPr>
          <w:trHeight w:val="257"/>
        </w:trPr>
        <w:tc>
          <w:tcPr>
            <w:tcW w:w="5860" w:type="dxa"/>
            <w:vAlign w:val="bottom"/>
          </w:tcPr>
          <w:p>
            <w:pPr>
              <w:spacing w:after="0"/>
              <w:rPr>
                <w:sz w:val="20"/>
                <w:szCs w:val="20"/>
                <w:color w:val="auto"/>
              </w:rPr>
            </w:pPr>
            <w:r>
              <w:rPr>
                <w:rFonts w:ascii="Times New Roman" w:cs="Times New Roman" w:eastAsia="Times New Roman" w:hAnsi="Times New Roman"/>
                <w:sz w:val="20"/>
                <w:szCs w:val="20"/>
                <w:color w:val="auto"/>
              </w:rPr>
              <w:t>MyBuilder Plus Limited</w:t>
            </w:r>
          </w:p>
        </w:tc>
        <w:tc>
          <w:tcPr>
            <w:tcW w:w="4200" w:type="dxa"/>
            <w:vAlign w:val="bottom"/>
          </w:tcPr>
          <w:p>
            <w:pPr>
              <w:jc w:val="center"/>
              <w:ind w:left="2561"/>
              <w:spacing w:after="0"/>
              <w:rPr>
                <w:sz w:val="20"/>
                <w:szCs w:val="20"/>
                <w:color w:val="auto"/>
              </w:rPr>
            </w:pPr>
            <w:r>
              <w:rPr>
                <w:rFonts w:ascii="Times New Roman" w:cs="Times New Roman" w:eastAsia="Times New Roman" w:hAnsi="Times New Roman"/>
                <w:sz w:val="20"/>
                <w:szCs w:val="20"/>
                <w:color w:val="auto"/>
                <w:w w:val="98"/>
              </w:rPr>
              <w:t>England and Wales</w:t>
            </w:r>
          </w:p>
        </w:tc>
      </w:tr>
      <w:tr>
        <w:trPr>
          <w:trHeight w:val="256"/>
        </w:trPr>
        <w:tc>
          <w:tcPr>
            <w:tcW w:w="5860" w:type="dxa"/>
            <w:vAlign w:val="bottom"/>
          </w:tcPr>
          <w:p>
            <w:pPr>
              <w:spacing w:after="0"/>
              <w:rPr>
                <w:sz w:val="20"/>
                <w:szCs w:val="20"/>
                <w:color w:val="auto"/>
              </w:rPr>
            </w:pPr>
            <w:r>
              <w:rPr>
                <w:rFonts w:ascii="Times New Roman" w:cs="Times New Roman" w:eastAsia="Times New Roman" w:hAnsi="Times New Roman"/>
                <w:sz w:val="20"/>
                <w:szCs w:val="20"/>
                <w:color w:val="auto"/>
              </w:rPr>
              <w:t>MyLife, Inc.</w:t>
            </w:r>
          </w:p>
        </w:tc>
        <w:tc>
          <w:tcPr>
            <w:tcW w:w="4200" w:type="dxa"/>
            <w:vAlign w:val="bottom"/>
          </w:tcPr>
          <w:p>
            <w:pPr>
              <w:jc w:val="center"/>
              <w:ind w:left="256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72"/>
        </w:trPr>
        <w:tc>
          <w:tcPr>
            <w:tcW w:w="5860" w:type="dxa"/>
            <w:vAlign w:val="bottom"/>
          </w:tcPr>
          <w:p>
            <w:pPr>
              <w:spacing w:after="0"/>
              <w:rPr>
                <w:sz w:val="20"/>
                <w:szCs w:val="20"/>
                <w:color w:val="auto"/>
              </w:rPr>
            </w:pPr>
            <w:r>
              <w:rPr>
                <w:rFonts w:ascii="Times New Roman" w:cs="Times New Roman" w:eastAsia="Times New Roman" w:hAnsi="Times New Roman"/>
                <w:sz w:val="20"/>
                <w:szCs w:val="20"/>
                <w:color w:val="auto"/>
              </w:rPr>
              <w:t>MyWedding, LLC</w:t>
            </w:r>
          </w:p>
        </w:tc>
        <w:tc>
          <w:tcPr>
            <w:tcW w:w="4200" w:type="dxa"/>
            <w:vAlign w:val="bottom"/>
          </w:tcPr>
          <w:p>
            <w:pPr>
              <w:jc w:val="center"/>
              <w:ind w:left="2561"/>
              <w:spacing w:after="0"/>
              <w:rPr>
                <w:sz w:val="20"/>
                <w:szCs w:val="20"/>
                <w:color w:val="auto"/>
              </w:rPr>
            </w:pPr>
            <w:r>
              <w:rPr>
                <w:rFonts w:ascii="Times New Roman" w:cs="Times New Roman" w:eastAsia="Times New Roman" w:hAnsi="Times New Roman"/>
                <w:sz w:val="20"/>
                <w:szCs w:val="20"/>
                <w:color w:val="auto"/>
                <w:w w:val="99"/>
              </w:rPr>
              <w:t>Colorado</w:t>
            </w:r>
          </w:p>
        </w:tc>
      </w:tr>
      <w:tr>
        <w:trPr>
          <w:trHeight w:val="297"/>
        </w:trPr>
        <w:tc>
          <w:tcPr>
            <w:tcW w:w="5860" w:type="dxa"/>
            <w:vAlign w:val="bottom"/>
          </w:tcPr>
          <w:p>
            <w:pPr>
              <w:spacing w:after="0"/>
              <w:rPr>
                <w:sz w:val="20"/>
                <w:szCs w:val="20"/>
                <w:color w:val="auto"/>
              </w:rPr>
            </w:pPr>
            <w:r>
              <w:rPr>
                <w:rFonts w:ascii="Times New Roman" w:cs="Times New Roman" w:eastAsia="Times New Roman" w:hAnsi="Times New Roman"/>
                <w:sz w:val="20"/>
                <w:szCs w:val="20"/>
                <w:color w:val="auto"/>
              </w:rPr>
              <w:t>Newsub Magazine Services LLC</w:t>
            </w:r>
          </w:p>
        </w:tc>
        <w:tc>
          <w:tcPr>
            <w:tcW w:w="4200" w:type="dxa"/>
            <w:vAlign w:val="bottom"/>
          </w:tcPr>
          <w:p>
            <w:pPr>
              <w:jc w:val="center"/>
              <w:ind w:left="256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97"/>
        </w:trPr>
        <w:tc>
          <w:tcPr>
            <w:tcW w:w="5860" w:type="dxa"/>
            <w:vAlign w:val="bottom"/>
          </w:tcPr>
          <w:p>
            <w:pPr>
              <w:spacing w:after="0"/>
              <w:rPr>
                <w:sz w:val="20"/>
                <w:szCs w:val="20"/>
                <w:color w:val="auto"/>
              </w:rPr>
            </w:pPr>
            <w:r>
              <w:rPr>
                <w:rFonts w:ascii="Times New Roman" w:cs="Times New Roman" w:eastAsia="Times New Roman" w:hAnsi="Times New Roman"/>
                <w:sz w:val="20"/>
                <w:szCs w:val="20"/>
                <w:color w:val="auto"/>
              </w:rPr>
              <w:t>NSSI Holdings Inc.</w:t>
            </w:r>
          </w:p>
        </w:tc>
        <w:tc>
          <w:tcPr>
            <w:tcW w:w="4200" w:type="dxa"/>
            <w:vAlign w:val="bottom"/>
          </w:tcPr>
          <w:p>
            <w:pPr>
              <w:jc w:val="center"/>
              <w:ind w:left="256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97"/>
        </w:trPr>
        <w:tc>
          <w:tcPr>
            <w:tcW w:w="5860" w:type="dxa"/>
            <w:vAlign w:val="bottom"/>
          </w:tcPr>
          <w:p>
            <w:pPr>
              <w:spacing w:after="0"/>
              <w:rPr>
                <w:sz w:val="20"/>
                <w:szCs w:val="20"/>
                <w:color w:val="auto"/>
              </w:rPr>
            </w:pPr>
            <w:r>
              <w:rPr>
                <w:rFonts w:ascii="Times New Roman" w:cs="Times New Roman" w:eastAsia="Times New Roman" w:hAnsi="Times New Roman"/>
                <w:sz w:val="20"/>
                <w:szCs w:val="20"/>
                <w:color w:val="auto"/>
              </w:rPr>
              <w:t>Oxmoor House, Inc.</w:t>
            </w:r>
          </w:p>
        </w:tc>
        <w:tc>
          <w:tcPr>
            <w:tcW w:w="4200" w:type="dxa"/>
            <w:vAlign w:val="bottom"/>
          </w:tcPr>
          <w:p>
            <w:pPr>
              <w:jc w:val="center"/>
              <w:ind w:left="256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82"/>
        </w:trPr>
        <w:tc>
          <w:tcPr>
            <w:tcW w:w="5860" w:type="dxa"/>
            <w:vAlign w:val="bottom"/>
          </w:tcPr>
          <w:p>
            <w:pPr>
              <w:spacing w:after="0"/>
              <w:rPr>
                <w:sz w:val="20"/>
                <w:szCs w:val="20"/>
                <w:color w:val="auto"/>
              </w:rPr>
            </w:pPr>
            <w:r>
              <w:rPr>
                <w:rFonts w:ascii="Times New Roman" w:cs="Times New Roman" w:eastAsia="Times New Roman" w:hAnsi="Times New Roman"/>
                <w:sz w:val="20"/>
                <w:szCs w:val="20"/>
                <w:color w:val="auto"/>
              </w:rPr>
              <w:t>Publishing Partner, LLC</w:t>
            </w:r>
          </w:p>
        </w:tc>
        <w:tc>
          <w:tcPr>
            <w:tcW w:w="4200" w:type="dxa"/>
            <w:vAlign w:val="bottom"/>
          </w:tcPr>
          <w:p>
            <w:pPr>
              <w:jc w:val="center"/>
              <w:ind w:left="256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72"/>
        </w:trPr>
        <w:tc>
          <w:tcPr>
            <w:tcW w:w="5860" w:type="dxa"/>
            <w:vAlign w:val="bottom"/>
          </w:tcPr>
          <w:p>
            <w:pPr>
              <w:spacing w:after="0"/>
              <w:rPr>
                <w:sz w:val="20"/>
                <w:szCs w:val="20"/>
                <w:color w:val="auto"/>
              </w:rPr>
            </w:pPr>
            <w:r>
              <w:rPr>
                <w:rFonts w:ascii="Times New Roman" w:cs="Times New Roman" w:eastAsia="Times New Roman" w:hAnsi="Times New Roman"/>
                <w:sz w:val="20"/>
                <w:szCs w:val="20"/>
                <w:color w:val="auto"/>
              </w:rPr>
              <w:t>QSP Distribution Services, LLC</w:t>
            </w:r>
          </w:p>
        </w:tc>
        <w:tc>
          <w:tcPr>
            <w:tcW w:w="4200" w:type="dxa"/>
            <w:vAlign w:val="bottom"/>
          </w:tcPr>
          <w:p>
            <w:pPr>
              <w:jc w:val="center"/>
              <w:ind w:left="256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97"/>
        </w:trPr>
        <w:tc>
          <w:tcPr>
            <w:tcW w:w="5860" w:type="dxa"/>
            <w:vAlign w:val="bottom"/>
          </w:tcPr>
          <w:p>
            <w:pPr>
              <w:spacing w:after="0"/>
              <w:rPr>
                <w:sz w:val="20"/>
                <w:szCs w:val="20"/>
                <w:color w:val="auto"/>
              </w:rPr>
            </w:pPr>
            <w:r>
              <w:rPr>
                <w:rFonts w:ascii="Times New Roman" w:cs="Times New Roman" w:eastAsia="Times New Roman" w:hAnsi="Times New Roman"/>
                <w:sz w:val="20"/>
                <w:szCs w:val="20"/>
                <w:color w:val="auto"/>
              </w:rPr>
              <w:t>Quality Service Programs Inc.</w:t>
            </w:r>
          </w:p>
        </w:tc>
        <w:tc>
          <w:tcPr>
            <w:tcW w:w="4200" w:type="dxa"/>
            <w:vAlign w:val="bottom"/>
          </w:tcPr>
          <w:p>
            <w:pPr>
              <w:jc w:val="center"/>
              <w:ind w:left="2561"/>
              <w:spacing w:after="0"/>
              <w:rPr>
                <w:sz w:val="20"/>
                <w:szCs w:val="20"/>
                <w:color w:val="auto"/>
              </w:rPr>
            </w:pPr>
            <w:r>
              <w:rPr>
                <w:rFonts w:ascii="Times New Roman" w:cs="Times New Roman" w:eastAsia="Times New Roman" w:hAnsi="Times New Roman"/>
                <w:sz w:val="20"/>
                <w:szCs w:val="20"/>
                <w:color w:val="auto"/>
                <w:w w:val="96"/>
              </w:rPr>
              <w:t>Canada</w:t>
            </w:r>
          </w:p>
        </w:tc>
      </w:tr>
      <w:tr>
        <w:trPr>
          <w:trHeight w:val="297"/>
        </w:trPr>
        <w:tc>
          <w:tcPr>
            <w:tcW w:w="5860" w:type="dxa"/>
            <w:vAlign w:val="bottom"/>
          </w:tcPr>
          <w:p>
            <w:pPr>
              <w:spacing w:after="0"/>
              <w:rPr>
                <w:sz w:val="20"/>
                <w:szCs w:val="20"/>
                <w:color w:val="auto"/>
              </w:rPr>
            </w:pPr>
            <w:r>
              <w:rPr>
                <w:rFonts w:ascii="Times New Roman" w:cs="Times New Roman" w:eastAsia="Times New Roman" w:hAnsi="Times New Roman"/>
                <w:sz w:val="20"/>
                <w:szCs w:val="20"/>
                <w:color w:val="auto"/>
              </w:rPr>
              <w:t>Real Simple Productions, Inc.</w:t>
            </w:r>
          </w:p>
        </w:tc>
        <w:tc>
          <w:tcPr>
            <w:tcW w:w="4200" w:type="dxa"/>
            <w:vAlign w:val="bottom"/>
          </w:tcPr>
          <w:p>
            <w:pPr>
              <w:jc w:val="center"/>
              <w:ind w:left="256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97"/>
        </w:trPr>
        <w:tc>
          <w:tcPr>
            <w:tcW w:w="5860" w:type="dxa"/>
            <w:vAlign w:val="bottom"/>
          </w:tcPr>
          <w:p>
            <w:pPr>
              <w:spacing w:after="0"/>
              <w:rPr>
                <w:sz w:val="20"/>
                <w:szCs w:val="20"/>
                <w:color w:val="auto"/>
              </w:rPr>
            </w:pPr>
            <w:r>
              <w:rPr>
                <w:rFonts w:ascii="Times New Roman" w:cs="Times New Roman" w:eastAsia="Times New Roman" w:hAnsi="Times New Roman"/>
                <w:sz w:val="20"/>
                <w:szCs w:val="20"/>
                <w:color w:val="auto"/>
              </w:rPr>
              <w:t>Selectable Media Inc.</w:t>
            </w:r>
          </w:p>
        </w:tc>
        <w:tc>
          <w:tcPr>
            <w:tcW w:w="4200" w:type="dxa"/>
            <w:vAlign w:val="bottom"/>
          </w:tcPr>
          <w:p>
            <w:pPr>
              <w:jc w:val="center"/>
              <w:ind w:left="256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82"/>
        </w:trPr>
        <w:tc>
          <w:tcPr>
            <w:tcW w:w="5860" w:type="dxa"/>
            <w:vAlign w:val="bottom"/>
          </w:tcPr>
          <w:p>
            <w:pPr>
              <w:spacing w:after="0"/>
              <w:rPr>
                <w:sz w:val="20"/>
                <w:szCs w:val="20"/>
                <w:color w:val="auto"/>
              </w:rPr>
            </w:pPr>
            <w:r>
              <w:rPr>
                <w:rFonts w:ascii="Times New Roman" w:cs="Times New Roman" w:eastAsia="Times New Roman" w:hAnsi="Times New Roman"/>
                <w:sz w:val="20"/>
                <w:szCs w:val="20"/>
                <w:color w:val="auto"/>
              </w:rPr>
              <w:t>ShopNation, Inc.</w:t>
            </w:r>
          </w:p>
        </w:tc>
        <w:tc>
          <w:tcPr>
            <w:tcW w:w="4200" w:type="dxa"/>
            <w:vAlign w:val="bottom"/>
          </w:tcPr>
          <w:p>
            <w:pPr>
              <w:jc w:val="center"/>
              <w:ind w:left="2561"/>
              <w:spacing w:after="0"/>
              <w:rPr>
                <w:sz w:val="20"/>
                <w:szCs w:val="20"/>
                <w:color w:val="auto"/>
              </w:rPr>
            </w:pPr>
            <w:r>
              <w:rPr>
                <w:rFonts w:ascii="Times New Roman" w:cs="Times New Roman" w:eastAsia="Times New Roman" w:hAnsi="Times New Roman"/>
                <w:sz w:val="20"/>
                <w:szCs w:val="20"/>
                <w:color w:val="auto"/>
                <w:w w:val="94"/>
              </w:rPr>
              <w:t>Iowa</w:t>
            </w:r>
          </w:p>
        </w:tc>
      </w:tr>
      <w:tr>
        <w:trPr>
          <w:trHeight w:val="256"/>
        </w:trPr>
        <w:tc>
          <w:tcPr>
            <w:tcW w:w="5860" w:type="dxa"/>
            <w:vAlign w:val="bottom"/>
          </w:tcPr>
          <w:p>
            <w:pPr>
              <w:spacing w:after="0"/>
              <w:rPr>
                <w:sz w:val="20"/>
                <w:szCs w:val="20"/>
                <w:color w:val="auto"/>
              </w:rPr>
            </w:pPr>
            <w:r>
              <w:rPr>
                <w:rFonts w:ascii="Times New Roman" w:cs="Times New Roman" w:eastAsia="Times New Roman" w:hAnsi="Times New Roman"/>
                <w:sz w:val="20"/>
                <w:szCs w:val="20"/>
                <w:color w:val="auto"/>
              </w:rPr>
              <w:t>Slimware Utilities Holdings, Inc.</w:t>
            </w:r>
          </w:p>
        </w:tc>
        <w:tc>
          <w:tcPr>
            <w:tcW w:w="4200" w:type="dxa"/>
            <w:vAlign w:val="bottom"/>
          </w:tcPr>
          <w:p>
            <w:pPr>
              <w:jc w:val="center"/>
              <w:ind w:left="256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72"/>
        </w:trPr>
        <w:tc>
          <w:tcPr>
            <w:tcW w:w="5860" w:type="dxa"/>
            <w:vAlign w:val="bottom"/>
          </w:tcPr>
          <w:p>
            <w:pPr>
              <w:spacing w:after="0"/>
              <w:rPr>
                <w:sz w:val="20"/>
                <w:szCs w:val="20"/>
                <w:color w:val="auto"/>
              </w:rPr>
            </w:pPr>
            <w:r>
              <w:rPr>
                <w:rFonts w:ascii="Times New Roman" w:cs="Times New Roman" w:eastAsia="Times New Roman" w:hAnsi="Times New Roman"/>
                <w:sz w:val="20"/>
                <w:szCs w:val="20"/>
                <w:color w:val="auto"/>
              </w:rPr>
              <w:t>Southern Progress Corporation</w:t>
            </w:r>
          </w:p>
        </w:tc>
        <w:tc>
          <w:tcPr>
            <w:tcW w:w="4200" w:type="dxa"/>
            <w:vAlign w:val="bottom"/>
          </w:tcPr>
          <w:p>
            <w:pPr>
              <w:jc w:val="center"/>
              <w:ind w:left="256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97"/>
        </w:trPr>
        <w:tc>
          <w:tcPr>
            <w:tcW w:w="5860" w:type="dxa"/>
            <w:vAlign w:val="bottom"/>
          </w:tcPr>
          <w:p>
            <w:pPr>
              <w:spacing w:after="0"/>
              <w:rPr>
                <w:sz w:val="20"/>
                <w:szCs w:val="20"/>
                <w:color w:val="auto"/>
              </w:rPr>
            </w:pPr>
            <w:r>
              <w:rPr>
                <w:rFonts w:ascii="Times New Roman" w:cs="Times New Roman" w:eastAsia="Times New Roman" w:hAnsi="Times New Roman"/>
                <w:sz w:val="20"/>
                <w:szCs w:val="20"/>
                <w:color w:val="auto"/>
              </w:rPr>
              <w:t>Sports Features Inc.</w:t>
            </w:r>
          </w:p>
        </w:tc>
        <w:tc>
          <w:tcPr>
            <w:tcW w:w="4200" w:type="dxa"/>
            <w:vAlign w:val="bottom"/>
          </w:tcPr>
          <w:p>
            <w:pPr>
              <w:jc w:val="center"/>
              <w:ind w:left="256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97"/>
        </w:trPr>
        <w:tc>
          <w:tcPr>
            <w:tcW w:w="5860" w:type="dxa"/>
            <w:vAlign w:val="bottom"/>
          </w:tcPr>
          <w:p>
            <w:pPr>
              <w:spacing w:after="0"/>
              <w:rPr>
                <w:sz w:val="20"/>
                <w:szCs w:val="20"/>
                <w:color w:val="auto"/>
              </w:rPr>
            </w:pPr>
            <w:r>
              <w:rPr>
                <w:rFonts w:ascii="Times New Roman" w:cs="Times New Roman" w:eastAsia="Times New Roman" w:hAnsi="Times New Roman"/>
                <w:sz w:val="20"/>
                <w:szCs w:val="20"/>
                <w:color w:val="auto"/>
              </w:rPr>
              <w:t>Sports Play LLC</w:t>
            </w:r>
          </w:p>
        </w:tc>
        <w:tc>
          <w:tcPr>
            <w:tcW w:w="4200" w:type="dxa"/>
            <w:vAlign w:val="bottom"/>
          </w:tcPr>
          <w:p>
            <w:pPr>
              <w:jc w:val="center"/>
              <w:ind w:left="256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97"/>
        </w:trPr>
        <w:tc>
          <w:tcPr>
            <w:tcW w:w="5860" w:type="dxa"/>
            <w:vAlign w:val="bottom"/>
          </w:tcPr>
          <w:p>
            <w:pPr>
              <w:spacing w:after="0"/>
              <w:rPr>
                <w:sz w:val="20"/>
                <w:szCs w:val="20"/>
                <w:color w:val="auto"/>
              </w:rPr>
            </w:pPr>
            <w:r>
              <w:rPr>
                <w:rFonts w:ascii="Times New Roman" w:cs="Times New Roman" w:eastAsia="Times New Roman" w:hAnsi="Times New Roman"/>
                <w:sz w:val="20"/>
                <w:szCs w:val="20"/>
                <w:color w:val="auto"/>
              </w:rPr>
              <w:t>Sports Signup Inc.</w:t>
            </w:r>
          </w:p>
        </w:tc>
        <w:tc>
          <w:tcPr>
            <w:tcW w:w="4200" w:type="dxa"/>
            <w:vAlign w:val="bottom"/>
          </w:tcPr>
          <w:p>
            <w:pPr>
              <w:jc w:val="center"/>
              <w:ind w:left="2561"/>
              <w:spacing w:after="0"/>
              <w:rPr>
                <w:sz w:val="20"/>
                <w:szCs w:val="20"/>
                <w:color w:val="auto"/>
              </w:rPr>
            </w:pPr>
            <w:r>
              <w:rPr>
                <w:rFonts w:ascii="Times New Roman" w:cs="Times New Roman" w:eastAsia="Times New Roman" w:hAnsi="Times New Roman"/>
                <w:sz w:val="20"/>
                <w:szCs w:val="20"/>
                <w:color w:val="auto"/>
                <w:w w:val="96"/>
              </w:rPr>
              <w:t>Canada</w:t>
            </w:r>
          </w:p>
        </w:tc>
      </w:tr>
      <w:tr>
        <w:trPr>
          <w:trHeight w:val="282"/>
        </w:trPr>
        <w:tc>
          <w:tcPr>
            <w:tcW w:w="5860" w:type="dxa"/>
            <w:vAlign w:val="bottom"/>
          </w:tcPr>
          <w:p>
            <w:pPr>
              <w:spacing w:after="0"/>
              <w:rPr>
                <w:sz w:val="20"/>
                <w:szCs w:val="20"/>
                <w:color w:val="auto"/>
              </w:rPr>
            </w:pPr>
            <w:r>
              <w:rPr>
                <w:rFonts w:ascii="Times New Roman" w:cs="Times New Roman" w:eastAsia="Times New Roman" w:hAnsi="Times New Roman"/>
                <w:sz w:val="20"/>
                <w:szCs w:val="20"/>
                <w:color w:val="auto"/>
              </w:rPr>
              <w:t>Starnet Interactive, Inc.</w:t>
            </w:r>
          </w:p>
        </w:tc>
        <w:tc>
          <w:tcPr>
            <w:tcW w:w="4200" w:type="dxa"/>
            <w:vAlign w:val="bottom"/>
          </w:tcPr>
          <w:p>
            <w:pPr>
              <w:jc w:val="center"/>
              <w:ind w:left="256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56"/>
        </w:trPr>
        <w:tc>
          <w:tcPr>
            <w:tcW w:w="5860" w:type="dxa"/>
            <w:vAlign w:val="bottom"/>
          </w:tcPr>
          <w:p>
            <w:pPr>
              <w:spacing w:after="0"/>
              <w:rPr>
                <w:sz w:val="20"/>
                <w:szCs w:val="20"/>
                <w:color w:val="auto"/>
              </w:rPr>
            </w:pPr>
            <w:r>
              <w:rPr>
                <w:rFonts w:ascii="Times New Roman" w:cs="Times New Roman" w:eastAsia="Times New Roman" w:hAnsi="Times New Roman"/>
                <w:sz w:val="20"/>
                <w:szCs w:val="20"/>
                <w:color w:val="auto"/>
              </w:rPr>
              <w:t>Styleclick, Inc.</w:t>
            </w:r>
          </w:p>
        </w:tc>
        <w:tc>
          <w:tcPr>
            <w:tcW w:w="4200" w:type="dxa"/>
            <w:vAlign w:val="bottom"/>
          </w:tcPr>
          <w:p>
            <w:pPr>
              <w:jc w:val="center"/>
              <w:ind w:left="256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57"/>
        </w:trPr>
        <w:tc>
          <w:tcPr>
            <w:tcW w:w="5860" w:type="dxa"/>
            <w:vAlign w:val="bottom"/>
          </w:tcPr>
          <w:p>
            <w:pPr>
              <w:spacing w:after="0"/>
              <w:rPr>
                <w:sz w:val="20"/>
                <w:szCs w:val="20"/>
                <w:color w:val="auto"/>
              </w:rPr>
            </w:pPr>
            <w:r>
              <w:rPr>
                <w:rFonts w:ascii="Times New Roman" w:cs="Times New Roman" w:eastAsia="Times New Roman" w:hAnsi="Times New Roman"/>
                <w:sz w:val="20"/>
                <w:szCs w:val="20"/>
                <w:color w:val="auto"/>
              </w:rPr>
              <w:t>Successful Aging, Inc.</w:t>
            </w:r>
          </w:p>
        </w:tc>
        <w:tc>
          <w:tcPr>
            <w:tcW w:w="4200" w:type="dxa"/>
            <w:vAlign w:val="bottom"/>
          </w:tcPr>
          <w:p>
            <w:pPr>
              <w:jc w:val="center"/>
              <w:ind w:left="256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72"/>
        </w:trPr>
        <w:tc>
          <w:tcPr>
            <w:tcW w:w="5860" w:type="dxa"/>
            <w:vAlign w:val="bottom"/>
          </w:tcPr>
          <w:p>
            <w:pPr>
              <w:spacing w:after="0"/>
              <w:rPr>
                <w:sz w:val="20"/>
                <w:szCs w:val="20"/>
                <w:color w:val="auto"/>
              </w:rPr>
            </w:pPr>
            <w:r>
              <w:rPr>
                <w:rFonts w:ascii="Times New Roman" w:cs="Times New Roman" w:eastAsia="Times New Roman" w:hAnsi="Times New Roman"/>
                <w:sz w:val="20"/>
                <w:szCs w:val="20"/>
                <w:color w:val="auto"/>
              </w:rPr>
              <w:t>Synapse Group, Inc.</w:t>
            </w:r>
          </w:p>
        </w:tc>
        <w:tc>
          <w:tcPr>
            <w:tcW w:w="4200" w:type="dxa"/>
            <w:vAlign w:val="bottom"/>
          </w:tcPr>
          <w:p>
            <w:pPr>
              <w:jc w:val="center"/>
              <w:ind w:left="256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97"/>
        </w:trPr>
        <w:tc>
          <w:tcPr>
            <w:tcW w:w="5860" w:type="dxa"/>
            <w:vAlign w:val="bottom"/>
          </w:tcPr>
          <w:p>
            <w:pPr>
              <w:spacing w:after="0"/>
              <w:rPr>
                <w:sz w:val="20"/>
                <w:szCs w:val="20"/>
                <w:color w:val="auto"/>
              </w:rPr>
            </w:pPr>
            <w:r>
              <w:rPr>
                <w:rFonts w:ascii="Times New Roman" w:cs="Times New Roman" w:eastAsia="Times New Roman" w:hAnsi="Times New Roman"/>
                <w:sz w:val="20"/>
                <w:szCs w:val="20"/>
                <w:color w:val="auto"/>
              </w:rPr>
              <w:t>Synapse Services, LLC</w:t>
            </w:r>
          </w:p>
        </w:tc>
        <w:tc>
          <w:tcPr>
            <w:tcW w:w="4200" w:type="dxa"/>
            <w:vAlign w:val="bottom"/>
          </w:tcPr>
          <w:p>
            <w:pPr>
              <w:jc w:val="center"/>
              <w:ind w:left="256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82"/>
        </w:trPr>
        <w:tc>
          <w:tcPr>
            <w:tcW w:w="5860" w:type="dxa"/>
            <w:vAlign w:val="bottom"/>
          </w:tcPr>
          <w:p>
            <w:pPr>
              <w:spacing w:after="0"/>
              <w:rPr>
                <w:sz w:val="20"/>
                <w:szCs w:val="20"/>
                <w:color w:val="auto"/>
              </w:rPr>
            </w:pPr>
            <w:r>
              <w:rPr>
                <w:rFonts w:ascii="Times New Roman" w:cs="Times New Roman" w:eastAsia="Times New Roman" w:hAnsi="Times New Roman"/>
                <w:sz w:val="20"/>
                <w:szCs w:val="20"/>
                <w:color w:val="auto"/>
              </w:rPr>
              <w:t>TDB Holdings, Inc.</w:t>
            </w:r>
          </w:p>
        </w:tc>
        <w:tc>
          <w:tcPr>
            <w:tcW w:w="4200" w:type="dxa"/>
            <w:vAlign w:val="bottom"/>
          </w:tcPr>
          <w:p>
            <w:pPr>
              <w:jc w:val="center"/>
              <w:ind w:left="256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57"/>
        </w:trPr>
        <w:tc>
          <w:tcPr>
            <w:tcW w:w="5860" w:type="dxa"/>
            <w:vAlign w:val="bottom"/>
          </w:tcPr>
          <w:p>
            <w:pPr>
              <w:spacing w:after="0"/>
              <w:rPr>
                <w:sz w:val="20"/>
                <w:szCs w:val="20"/>
                <w:color w:val="auto"/>
              </w:rPr>
            </w:pPr>
            <w:r>
              <w:rPr>
                <w:rFonts w:ascii="Times New Roman" w:cs="Times New Roman" w:eastAsia="Times New Roman" w:hAnsi="Times New Roman"/>
                <w:sz w:val="20"/>
                <w:szCs w:val="20"/>
                <w:color w:val="auto"/>
              </w:rPr>
              <w:t>TelTech Systems, Inc.</w:t>
            </w:r>
          </w:p>
        </w:tc>
        <w:tc>
          <w:tcPr>
            <w:tcW w:w="4200" w:type="dxa"/>
            <w:vAlign w:val="bottom"/>
          </w:tcPr>
          <w:p>
            <w:pPr>
              <w:jc w:val="center"/>
              <w:ind w:left="256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58"/>
        </w:trPr>
        <w:tc>
          <w:tcPr>
            <w:tcW w:w="5860" w:type="dxa"/>
            <w:vAlign w:val="bottom"/>
          </w:tcPr>
          <w:p>
            <w:pPr>
              <w:spacing w:after="0"/>
              <w:rPr>
                <w:sz w:val="20"/>
                <w:szCs w:val="20"/>
                <w:color w:val="auto"/>
              </w:rPr>
            </w:pPr>
            <w:r>
              <w:rPr>
                <w:rFonts w:ascii="Times New Roman" w:cs="Times New Roman" w:eastAsia="Times New Roman" w:hAnsi="Times New Roman"/>
                <w:sz w:val="20"/>
                <w:szCs w:val="20"/>
                <w:color w:val="auto"/>
              </w:rPr>
              <w:t>The Daily Beast Company LLC</w:t>
            </w:r>
          </w:p>
        </w:tc>
        <w:tc>
          <w:tcPr>
            <w:tcW w:w="4200" w:type="dxa"/>
            <w:vAlign w:val="bottom"/>
          </w:tcPr>
          <w:p>
            <w:pPr>
              <w:jc w:val="center"/>
              <w:ind w:left="2561"/>
              <w:spacing w:after="0"/>
              <w:rPr>
                <w:sz w:val="20"/>
                <w:szCs w:val="20"/>
                <w:color w:val="auto"/>
              </w:rPr>
            </w:pPr>
            <w:r>
              <w:rPr>
                <w:rFonts w:ascii="Times New Roman" w:cs="Times New Roman" w:eastAsia="Times New Roman" w:hAnsi="Times New Roman"/>
                <w:sz w:val="20"/>
                <w:szCs w:val="20"/>
                <w:color w:val="auto"/>
                <w:w w:val="96"/>
              </w:rPr>
              <w:t>Delaware</w:t>
            </w:r>
          </w:p>
        </w:tc>
      </w:tr>
    </w:tbl>
    <w:p>
      <w:pPr>
        <w:sectPr>
          <w:pgSz w:w="11900" w:h="16838" w:orient="portrait"/>
          <w:cols w:equalWidth="0" w:num="1">
            <w:col w:w="10860"/>
          </w:cols>
          <w:pgMar w:left="340" w:top="117" w:right="699" w:bottom="603" w:gutter="0" w:footer="0" w:header="0"/>
        </w:sectPr>
      </w:pPr>
    </w:p>
    <w:bookmarkStart w:id="191" w:name="page192"/>
    <w:bookmarkEnd w:id="191"/>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92" w:name="page193"/>
    <w:bookmarkEnd w:id="192"/>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5920" w:type="dxa"/>
            <w:vAlign w:val="bottom"/>
          </w:tcPr>
          <w:p>
            <w:pPr>
              <w:spacing w:after="0"/>
              <w:rPr>
                <w:sz w:val="20"/>
                <w:szCs w:val="20"/>
                <w:color w:val="auto"/>
              </w:rPr>
            </w:pPr>
            <w:r>
              <w:rPr>
                <w:rFonts w:ascii="Times New Roman" w:cs="Times New Roman" w:eastAsia="Times New Roman" w:hAnsi="Times New Roman"/>
                <w:sz w:val="20"/>
                <w:szCs w:val="20"/>
                <w:color w:val="auto"/>
              </w:rPr>
              <w:t>The Picture Collection, LLC</w:t>
            </w:r>
          </w:p>
        </w:tc>
        <w:tc>
          <w:tcPr>
            <w:tcW w:w="4140" w:type="dxa"/>
            <w:vAlign w:val="bottom"/>
          </w:tcPr>
          <w:p>
            <w:pPr>
              <w:jc w:val="center"/>
              <w:ind w:left="250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82"/>
        </w:trPr>
        <w:tc>
          <w:tcPr>
            <w:tcW w:w="5920" w:type="dxa"/>
            <w:vAlign w:val="bottom"/>
          </w:tcPr>
          <w:p>
            <w:pPr>
              <w:spacing w:after="0"/>
              <w:rPr>
                <w:sz w:val="20"/>
                <w:szCs w:val="20"/>
                <w:color w:val="auto"/>
              </w:rPr>
            </w:pPr>
            <w:r>
              <w:rPr>
                <w:rFonts w:ascii="Times New Roman" w:cs="Times New Roman" w:eastAsia="Times New Roman" w:hAnsi="Times New Roman"/>
                <w:sz w:val="20"/>
                <w:szCs w:val="20"/>
                <w:color w:val="auto"/>
              </w:rPr>
              <w:t>Thriveport, LLC</w:t>
            </w:r>
          </w:p>
        </w:tc>
        <w:tc>
          <w:tcPr>
            <w:tcW w:w="4140" w:type="dxa"/>
            <w:vAlign w:val="bottom"/>
          </w:tcPr>
          <w:p>
            <w:pPr>
              <w:jc w:val="center"/>
              <w:ind w:left="250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72"/>
        </w:trPr>
        <w:tc>
          <w:tcPr>
            <w:tcW w:w="5920" w:type="dxa"/>
            <w:vAlign w:val="bottom"/>
          </w:tcPr>
          <w:p>
            <w:pPr>
              <w:spacing w:after="0"/>
              <w:rPr>
                <w:sz w:val="20"/>
                <w:szCs w:val="20"/>
                <w:color w:val="auto"/>
              </w:rPr>
            </w:pPr>
            <w:r>
              <w:rPr>
                <w:rFonts w:ascii="Times New Roman" w:cs="Times New Roman" w:eastAsia="Times New Roman" w:hAnsi="Times New Roman"/>
                <w:sz w:val="20"/>
                <w:szCs w:val="20"/>
                <w:color w:val="auto"/>
              </w:rPr>
              <w:t>TI Administrative Holdings LLC</w:t>
            </w:r>
          </w:p>
        </w:tc>
        <w:tc>
          <w:tcPr>
            <w:tcW w:w="4140" w:type="dxa"/>
            <w:vAlign w:val="bottom"/>
          </w:tcPr>
          <w:p>
            <w:pPr>
              <w:jc w:val="center"/>
              <w:ind w:left="250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97"/>
        </w:trPr>
        <w:tc>
          <w:tcPr>
            <w:tcW w:w="5920" w:type="dxa"/>
            <w:vAlign w:val="bottom"/>
          </w:tcPr>
          <w:p>
            <w:pPr>
              <w:spacing w:after="0"/>
              <w:rPr>
                <w:sz w:val="20"/>
                <w:szCs w:val="20"/>
                <w:color w:val="auto"/>
              </w:rPr>
            </w:pPr>
            <w:r>
              <w:rPr>
                <w:rFonts w:ascii="Times New Roman" w:cs="Times New Roman" w:eastAsia="Times New Roman" w:hAnsi="Times New Roman"/>
                <w:sz w:val="20"/>
                <w:szCs w:val="20"/>
                <w:color w:val="auto"/>
              </w:rPr>
              <w:t>TI Asia (Hong Kong) Limited</w:t>
            </w:r>
          </w:p>
        </w:tc>
        <w:tc>
          <w:tcPr>
            <w:tcW w:w="4140" w:type="dxa"/>
            <w:vAlign w:val="bottom"/>
          </w:tcPr>
          <w:p>
            <w:pPr>
              <w:jc w:val="center"/>
              <w:ind w:left="2501"/>
              <w:spacing w:after="0"/>
              <w:rPr>
                <w:sz w:val="20"/>
                <w:szCs w:val="20"/>
                <w:color w:val="auto"/>
              </w:rPr>
            </w:pPr>
            <w:r>
              <w:rPr>
                <w:rFonts w:ascii="Times New Roman" w:cs="Times New Roman" w:eastAsia="Times New Roman" w:hAnsi="Times New Roman"/>
                <w:sz w:val="20"/>
                <w:szCs w:val="20"/>
                <w:color w:val="auto"/>
              </w:rPr>
              <w:t>Hong Kong</w:t>
            </w:r>
          </w:p>
        </w:tc>
      </w:tr>
      <w:tr>
        <w:trPr>
          <w:trHeight w:val="297"/>
        </w:trPr>
        <w:tc>
          <w:tcPr>
            <w:tcW w:w="5920" w:type="dxa"/>
            <w:vAlign w:val="bottom"/>
          </w:tcPr>
          <w:p>
            <w:pPr>
              <w:spacing w:after="0"/>
              <w:rPr>
                <w:sz w:val="20"/>
                <w:szCs w:val="20"/>
                <w:color w:val="auto"/>
              </w:rPr>
            </w:pPr>
            <w:r>
              <w:rPr>
                <w:rFonts w:ascii="Times New Roman" w:cs="Times New Roman" w:eastAsia="Times New Roman" w:hAnsi="Times New Roman"/>
                <w:sz w:val="20"/>
                <w:szCs w:val="20"/>
                <w:color w:val="auto"/>
              </w:rPr>
              <w:t>TI Asia Holdings, LLC</w:t>
            </w:r>
          </w:p>
        </w:tc>
        <w:tc>
          <w:tcPr>
            <w:tcW w:w="4140" w:type="dxa"/>
            <w:vAlign w:val="bottom"/>
          </w:tcPr>
          <w:p>
            <w:pPr>
              <w:jc w:val="center"/>
              <w:ind w:left="250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82"/>
        </w:trPr>
        <w:tc>
          <w:tcPr>
            <w:tcW w:w="5920" w:type="dxa"/>
            <w:vAlign w:val="bottom"/>
          </w:tcPr>
          <w:p>
            <w:pPr>
              <w:spacing w:after="0"/>
              <w:rPr>
                <w:sz w:val="20"/>
                <w:szCs w:val="20"/>
                <w:color w:val="auto"/>
              </w:rPr>
            </w:pPr>
            <w:r>
              <w:rPr>
                <w:rFonts w:ascii="Times New Roman" w:cs="Times New Roman" w:eastAsia="Times New Roman" w:hAnsi="Times New Roman"/>
                <w:sz w:val="20"/>
                <w:szCs w:val="20"/>
                <w:color w:val="auto"/>
              </w:rPr>
              <w:t>TI Atlantic Europe Holdings Limited</w:t>
            </w:r>
          </w:p>
        </w:tc>
        <w:tc>
          <w:tcPr>
            <w:tcW w:w="4140" w:type="dxa"/>
            <w:vAlign w:val="bottom"/>
          </w:tcPr>
          <w:p>
            <w:pPr>
              <w:jc w:val="center"/>
              <w:ind w:left="2501"/>
              <w:spacing w:after="0"/>
              <w:rPr>
                <w:sz w:val="20"/>
                <w:szCs w:val="20"/>
                <w:color w:val="auto"/>
              </w:rPr>
            </w:pPr>
            <w:r>
              <w:rPr>
                <w:rFonts w:ascii="Times New Roman" w:cs="Times New Roman" w:eastAsia="Times New Roman" w:hAnsi="Times New Roman"/>
                <w:sz w:val="20"/>
                <w:szCs w:val="20"/>
                <w:color w:val="auto"/>
                <w:w w:val="98"/>
              </w:rPr>
              <w:t>England and Wales</w:t>
            </w:r>
          </w:p>
        </w:tc>
      </w:tr>
      <w:tr>
        <w:trPr>
          <w:trHeight w:val="272"/>
        </w:trPr>
        <w:tc>
          <w:tcPr>
            <w:tcW w:w="5920" w:type="dxa"/>
            <w:vAlign w:val="bottom"/>
          </w:tcPr>
          <w:p>
            <w:pPr>
              <w:spacing w:after="0"/>
              <w:rPr>
                <w:sz w:val="20"/>
                <w:szCs w:val="20"/>
                <w:color w:val="auto"/>
              </w:rPr>
            </w:pPr>
            <w:r>
              <w:rPr>
                <w:rFonts w:ascii="Times New Roman" w:cs="Times New Roman" w:eastAsia="Times New Roman" w:hAnsi="Times New Roman"/>
                <w:sz w:val="20"/>
                <w:szCs w:val="20"/>
                <w:color w:val="auto"/>
              </w:rPr>
              <w:t>TI Books Holdings LLC</w:t>
            </w:r>
          </w:p>
        </w:tc>
        <w:tc>
          <w:tcPr>
            <w:tcW w:w="4140" w:type="dxa"/>
            <w:vAlign w:val="bottom"/>
          </w:tcPr>
          <w:p>
            <w:pPr>
              <w:jc w:val="center"/>
              <w:ind w:left="250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97"/>
        </w:trPr>
        <w:tc>
          <w:tcPr>
            <w:tcW w:w="5920" w:type="dxa"/>
            <w:vAlign w:val="bottom"/>
          </w:tcPr>
          <w:p>
            <w:pPr>
              <w:spacing w:after="0"/>
              <w:rPr>
                <w:sz w:val="20"/>
                <w:szCs w:val="20"/>
                <w:color w:val="auto"/>
              </w:rPr>
            </w:pPr>
            <w:r>
              <w:rPr>
                <w:rFonts w:ascii="Times New Roman" w:cs="Times New Roman" w:eastAsia="Times New Roman" w:hAnsi="Times New Roman"/>
                <w:sz w:val="20"/>
                <w:szCs w:val="20"/>
                <w:color w:val="auto"/>
              </w:rPr>
              <w:t>TI Business Ventures Inc.</w:t>
            </w:r>
          </w:p>
        </w:tc>
        <w:tc>
          <w:tcPr>
            <w:tcW w:w="4140" w:type="dxa"/>
            <w:vAlign w:val="bottom"/>
          </w:tcPr>
          <w:p>
            <w:pPr>
              <w:jc w:val="center"/>
              <w:ind w:left="250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82"/>
        </w:trPr>
        <w:tc>
          <w:tcPr>
            <w:tcW w:w="5920" w:type="dxa"/>
            <w:vAlign w:val="bottom"/>
          </w:tcPr>
          <w:p>
            <w:pPr>
              <w:spacing w:after="0"/>
              <w:rPr>
                <w:sz w:val="20"/>
                <w:szCs w:val="20"/>
                <w:color w:val="auto"/>
              </w:rPr>
            </w:pPr>
            <w:r>
              <w:rPr>
                <w:rFonts w:ascii="Times New Roman" w:cs="Times New Roman" w:eastAsia="Times New Roman" w:hAnsi="Times New Roman"/>
                <w:sz w:val="20"/>
                <w:szCs w:val="20"/>
                <w:color w:val="auto"/>
              </w:rPr>
              <w:t>TI Canada LTD.</w:t>
            </w:r>
          </w:p>
        </w:tc>
        <w:tc>
          <w:tcPr>
            <w:tcW w:w="4140" w:type="dxa"/>
            <w:vAlign w:val="bottom"/>
          </w:tcPr>
          <w:p>
            <w:pPr>
              <w:jc w:val="center"/>
              <w:ind w:left="2501"/>
              <w:spacing w:after="0"/>
              <w:rPr>
                <w:sz w:val="20"/>
                <w:szCs w:val="20"/>
                <w:color w:val="auto"/>
              </w:rPr>
            </w:pPr>
            <w:r>
              <w:rPr>
                <w:rFonts w:ascii="Times New Roman" w:cs="Times New Roman" w:eastAsia="Times New Roman" w:hAnsi="Times New Roman"/>
                <w:sz w:val="20"/>
                <w:szCs w:val="20"/>
                <w:color w:val="auto"/>
                <w:w w:val="96"/>
              </w:rPr>
              <w:t>Canada</w:t>
            </w:r>
          </w:p>
        </w:tc>
      </w:tr>
      <w:tr>
        <w:trPr>
          <w:trHeight w:val="272"/>
        </w:trPr>
        <w:tc>
          <w:tcPr>
            <w:tcW w:w="5920" w:type="dxa"/>
            <w:vAlign w:val="bottom"/>
          </w:tcPr>
          <w:p>
            <w:pPr>
              <w:spacing w:after="0"/>
              <w:rPr>
                <w:sz w:val="20"/>
                <w:szCs w:val="20"/>
                <w:color w:val="auto"/>
              </w:rPr>
            </w:pPr>
            <w:r>
              <w:rPr>
                <w:rFonts w:ascii="Times New Roman" w:cs="Times New Roman" w:eastAsia="Times New Roman" w:hAnsi="Times New Roman"/>
                <w:sz w:val="20"/>
                <w:szCs w:val="20"/>
                <w:color w:val="auto"/>
              </w:rPr>
              <w:t>TI Circulation Holdings LLC</w:t>
            </w:r>
          </w:p>
        </w:tc>
        <w:tc>
          <w:tcPr>
            <w:tcW w:w="4140" w:type="dxa"/>
            <w:vAlign w:val="bottom"/>
          </w:tcPr>
          <w:p>
            <w:pPr>
              <w:jc w:val="center"/>
              <w:ind w:left="250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97"/>
        </w:trPr>
        <w:tc>
          <w:tcPr>
            <w:tcW w:w="5920" w:type="dxa"/>
            <w:vAlign w:val="bottom"/>
          </w:tcPr>
          <w:p>
            <w:pPr>
              <w:spacing w:after="0"/>
              <w:rPr>
                <w:sz w:val="20"/>
                <w:szCs w:val="20"/>
                <w:color w:val="auto"/>
              </w:rPr>
            </w:pPr>
            <w:r>
              <w:rPr>
                <w:rFonts w:ascii="Times New Roman" w:cs="Times New Roman" w:eastAsia="Times New Roman" w:hAnsi="Times New Roman"/>
                <w:sz w:val="20"/>
                <w:szCs w:val="20"/>
                <w:color w:val="auto"/>
              </w:rPr>
              <w:t>TI Consumer Marketing, Inc.</w:t>
            </w:r>
          </w:p>
        </w:tc>
        <w:tc>
          <w:tcPr>
            <w:tcW w:w="4140" w:type="dxa"/>
            <w:vAlign w:val="bottom"/>
          </w:tcPr>
          <w:p>
            <w:pPr>
              <w:jc w:val="center"/>
              <w:ind w:left="250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97"/>
        </w:trPr>
        <w:tc>
          <w:tcPr>
            <w:tcW w:w="5920" w:type="dxa"/>
            <w:vAlign w:val="bottom"/>
          </w:tcPr>
          <w:p>
            <w:pPr>
              <w:spacing w:after="0"/>
              <w:rPr>
                <w:sz w:val="20"/>
                <w:szCs w:val="20"/>
                <w:color w:val="auto"/>
              </w:rPr>
            </w:pPr>
            <w:r>
              <w:rPr>
                <w:rFonts w:ascii="Times New Roman" w:cs="Times New Roman" w:eastAsia="Times New Roman" w:hAnsi="Times New Roman"/>
                <w:sz w:val="20"/>
                <w:szCs w:val="20"/>
                <w:color w:val="auto"/>
              </w:rPr>
              <w:t>TI Corporate Holdings LLC</w:t>
            </w:r>
          </w:p>
        </w:tc>
        <w:tc>
          <w:tcPr>
            <w:tcW w:w="4140" w:type="dxa"/>
            <w:vAlign w:val="bottom"/>
          </w:tcPr>
          <w:p>
            <w:pPr>
              <w:jc w:val="center"/>
              <w:ind w:left="250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97"/>
        </w:trPr>
        <w:tc>
          <w:tcPr>
            <w:tcW w:w="5920" w:type="dxa"/>
            <w:vAlign w:val="bottom"/>
          </w:tcPr>
          <w:p>
            <w:pPr>
              <w:spacing w:after="0"/>
              <w:rPr>
                <w:sz w:val="20"/>
                <w:szCs w:val="20"/>
                <w:color w:val="auto"/>
              </w:rPr>
            </w:pPr>
            <w:r>
              <w:rPr>
                <w:rFonts w:ascii="Times New Roman" w:cs="Times New Roman" w:eastAsia="Times New Roman" w:hAnsi="Times New Roman"/>
                <w:sz w:val="20"/>
                <w:szCs w:val="20"/>
                <w:color w:val="auto"/>
              </w:rPr>
              <w:t>TI Customer Service, Inc.</w:t>
            </w:r>
          </w:p>
        </w:tc>
        <w:tc>
          <w:tcPr>
            <w:tcW w:w="4140" w:type="dxa"/>
            <w:vAlign w:val="bottom"/>
          </w:tcPr>
          <w:p>
            <w:pPr>
              <w:jc w:val="center"/>
              <w:ind w:left="250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97"/>
        </w:trPr>
        <w:tc>
          <w:tcPr>
            <w:tcW w:w="5920" w:type="dxa"/>
            <w:vAlign w:val="bottom"/>
          </w:tcPr>
          <w:p>
            <w:pPr>
              <w:spacing w:after="0"/>
              <w:rPr>
                <w:sz w:val="20"/>
                <w:szCs w:val="20"/>
                <w:color w:val="auto"/>
              </w:rPr>
            </w:pPr>
            <w:r>
              <w:rPr>
                <w:rFonts w:ascii="Times New Roman" w:cs="Times New Roman" w:eastAsia="Times New Roman" w:hAnsi="Times New Roman"/>
                <w:sz w:val="20"/>
                <w:szCs w:val="20"/>
                <w:color w:val="auto"/>
              </w:rPr>
              <w:t>TI Direct Ventures LLC</w:t>
            </w:r>
          </w:p>
        </w:tc>
        <w:tc>
          <w:tcPr>
            <w:tcW w:w="4140" w:type="dxa"/>
            <w:vAlign w:val="bottom"/>
          </w:tcPr>
          <w:p>
            <w:pPr>
              <w:jc w:val="center"/>
              <w:ind w:left="250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97"/>
        </w:trPr>
        <w:tc>
          <w:tcPr>
            <w:tcW w:w="5920" w:type="dxa"/>
            <w:vAlign w:val="bottom"/>
          </w:tcPr>
          <w:p>
            <w:pPr>
              <w:spacing w:after="0"/>
              <w:rPr>
                <w:sz w:val="20"/>
                <w:szCs w:val="20"/>
                <w:color w:val="auto"/>
              </w:rPr>
            </w:pPr>
            <w:r>
              <w:rPr>
                <w:rFonts w:ascii="Times New Roman" w:cs="Times New Roman" w:eastAsia="Times New Roman" w:hAnsi="Times New Roman"/>
                <w:sz w:val="20"/>
                <w:szCs w:val="20"/>
                <w:color w:val="auto"/>
              </w:rPr>
              <w:t>TI Distribution Holdings LLC</w:t>
            </w:r>
          </w:p>
        </w:tc>
        <w:tc>
          <w:tcPr>
            <w:tcW w:w="4140" w:type="dxa"/>
            <w:vAlign w:val="bottom"/>
          </w:tcPr>
          <w:p>
            <w:pPr>
              <w:jc w:val="center"/>
              <w:ind w:left="250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97"/>
        </w:trPr>
        <w:tc>
          <w:tcPr>
            <w:tcW w:w="5920" w:type="dxa"/>
            <w:vAlign w:val="bottom"/>
          </w:tcPr>
          <w:p>
            <w:pPr>
              <w:spacing w:after="0"/>
              <w:rPr>
                <w:sz w:val="20"/>
                <w:szCs w:val="20"/>
                <w:color w:val="auto"/>
              </w:rPr>
            </w:pPr>
            <w:r>
              <w:rPr>
                <w:rFonts w:ascii="Times New Roman" w:cs="Times New Roman" w:eastAsia="Times New Roman" w:hAnsi="Times New Roman"/>
                <w:sz w:val="20"/>
                <w:szCs w:val="20"/>
                <w:color w:val="auto"/>
              </w:rPr>
              <w:t>TI Distribution Services, LLC</w:t>
            </w:r>
          </w:p>
        </w:tc>
        <w:tc>
          <w:tcPr>
            <w:tcW w:w="4140" w:type="dxa"/>
            <w:vAlign w:val="bottom"/>
          </w:tcPr>
          <w:p>
            <w:pPr>
              <w:jc w:val="center"/>
              <w:ind w:left="250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82"/>
        </w:trPr>
        <w:tc>
          <w:tcPr>
            <w:tcW w:w="5920" w:type="dxa"/>
            <w:vAlign w:val="bottom"/>
          </w:tcPr>
          <w:p>
            <w:pPr>
              <w:spacing w:after="0"/>
              <w:rPr>
                <w:sz w:val="20"/>
                <w:szCs w:val="20"/>
                <w:color w:val="auto"/>
              </w:rPr>
            </w:pPr>
            <w:r>
              <w:rPr>
                <w:rFonts w:ascii="Times New Roman" w:cs="Times New Roman" w:eastAsia="Times New Roman" w:hAnsi="Times New Roman"/>
                <w:sz w:val="20"/>
                <w:szCs w:val="20"/>
                <w:color w:val="auto"/>
              </w:rPr>
              <w:t>TI European Holdings Limited</w:t>
            </w:r>
          </w:p>
        </w:tc>
        <w:tc>
          <w:tcPr>
            <w:tcW w:w="4140" w:type="dxa"/>
            <w:vAlign w:val="bottom"/>
          </w:tcPr>
          <w:p>
            <w:pPr>
              <w:jc w:val="center"/>
              <w:ind w:left="2501"/>
              <w:spacing w:after="0"/>
              <w:rPr>
                <w:sz w:val="20"/>
                <w:szCs w:val="20"/>
                <w:color w:val="auto"/>
              </w:rPr>
            </w:pPr>
            <w:r>
              <w:rPr>
                <w:rFonts w:ascii="Times New Roman" w:cs="Times New Roman" w:eastAsia="Times New Roman" w:hAnsi="Times New Roman"/>
                <w:sz w:val="20"/>
                <w:szCs w:val="20"/>
                <w:color w:val="auto"/>
                <w:w w:val="98"/>
              </w:rPr>
              <w:t>England and Wales</w:t>
            </w:r>
          </w:p>
        </w:tc>
      </w:tr>
      <w:tr>
        <w:trPr>
          <w:trHeight w:val="272"/>
        </w:trPr>
        <w:tc>
          <w:tcPr>
            <w:tcW w:w="5920" w:type="dxa"/>
            <w:vAlign w:val="bottom"/>
          </w:tcPr>
          <w:p>
            <w:pPr>
              <w:spacing w:after="0"/>
              <w:rPr>
                <w:sz w:val="20"/>
                <w:szCs w:val="20"/>
                <w:color w:val="auto"/>
              </w:rPr>
            </w:pPr>
            <w:r>
              <w:rPr>
                <w:rFonts w:ascii="Times New Roman" w:cs="Times New Roman" w:eastAsia="Times New Roman" w:hAnsi="Times New Roman"/>
                <w:sz w:val="20"/>
                <w:szCs w:val="20"/>
                <w:color w:val="auto"/>
              </w:rPr>
              <w:t>TI Experiential, LLC</w:t>
            </w:r>
          </w:p>
        </w:tc>
        <w:tc>
          <w:tcPr>
            <w:tcW w:w="4140" w:type="dxa"/>
            <w:vAlign w:val="bottom"/>
          </w:tcPr>
          <w:p>
            <w:pPr>
              <w:jc w:val="center"/>
              <w:ind w:left="250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97"/>
        </w:trPr>
        <w:tc>
          <w:tcPr>
            <w:tcW w:w="5920" w:type="dxa"/>
            <w:vAlign w:val="bottom"/>
          </w:tcPr>
          <w:p>
            <w:pPr>
              <w:spacing w:after="0"/>
              <w:rPr>
                <w:sz w:val="20"/>
                <w:szCs w:val="20"/>
                <w:color w:val="auto"/>
              </w:rPr>
            </w:pPr>
            <w:r>
              <w:rPr>
                <w:rFonts w:ascii="Times New Roman" w:cs="Times New Roman" w:eastAsia="Times New Roman" w:hAnsi="Times New Roman"/>
                <w:sz w:val="20"/>
                <w:szCs w:val="20"/>
                <w:color w:val="auto"/>
              </w:rPr>
              <w:t>TI Golf Holdings Inc.</w:t>
            </w:r>
          </w:p>
        </w:tc>
        <w:tc>
          <w:tcPr>
            <w:tcW w:w="4140" w:type="dxa"/>
            <w:vAlign w:val="bottom"/>
          </w:tcPr>
          <w:p>
            <w:pPr>
              <w:jc w:val="center"/>
              <w:ind w:left="250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97"/>
        </w:trPr>
        <w:tc>
          <w:tcPr>
            <w:tcW w:w="5920" w:type="dxa"/>
            <w:vAlign w:val="bottom"/>
          </w:tcPr>
          <w:p>
            <w:pPr>
              <w:spacing w:after="0"/>
              <w:rPr>
                <w:sz w:val="20"/>
                <w:szCs w:val="20"/>
                <w:color w:val="auto"/>
              </w:rPr>
            </w:pPr>
            <w:r>
              <w:rPr>
                <w:rFonts w:ascii="Times New Roman" w:cs="Times New Roman" w:eastAsia="Times New Roman" w:hAnsi="Times New Roman"/>
                <w:sz w:val="20"/>
                <w:szCs w:val="20"/>
                <w:color w:val="auto"/>
              </w:rPr>
              <w:t>TI Gotham Inc.</w:t>
            </w:r>
          </w:p>
        </w:tc>
        <w:tc>
          <w:tcPr>
            <w:tcW w:w="4140" w:type="dxa"/>
            <w:vAlign w:val="bottom"/>
          </w:tcPr>
          <w:p>
            <w:pPr>
              <w:jc w:val="center"/>
              <w:ind w:left="250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97"/>
        </w:trPr>
        <w:tc>
          <w:tcPr>
            <w:tcW w:w="5920" w:type="dxa"/>
            <w:vAlign w:val="bottom"/>
          </w:tcPr>
          <w:p>
            <w:pPr>
              <w:spacing w:after="0"/>
              <w:rPr>
                <w:sz w:val="20"/>
                <w:szCs w:val="20"/>
                <w:color w:val="auto"/>
              </w:rPr>
            </w:pPr>
            <w:r>
              <w:rPr>
                <w:rFonts w:ascii="Times New Roman" w:cs="Times New Roman" w:eastAsia="Times New Roman" w:hAnsi="Times New Roman"/>
                <w:sz w:val="20"/>
                <w:szCs w:val="20"/>
                <w:color w:val="auto"/>
              </w:rPr>
              <w:t>TI Inc. Affluent Media Group</w:t>
            </w:r>
          </w:p>
        </w:tc>
        <w:tc>
          <w:tcPr>
            <w:tcW w:w="4140" w:type="dxa"/>
            <w:vAlign w:val="bottom"/>
          </w:tcPr>
          <w:p>
            <w:pPr>
              <w:jc w:val="center"/>
              <w:ind w:left="2501"/>
              <w:spacing w:after="0"/>
              <w:rPr>
                <w:sz w:val="20"/>
                <w:szCs w:val="20"/>
                <w:color w:val="auto"/>
              </w:rPr>
            </w:pPr>
            <w:r>
              <w:rPr>
                <w:rFonts w:ascii="Times New Roman" w:cs="Times New Roman" w:eastAsia="Times New Roman" w:hAnsi="Times New Roman"/>
                <w:sz w:val="20"/>
                <w:szCs w:val="20"/>
                <w:color w:val="auto"/>
                <w:w w:val="97"/>
              </w:rPr>
              <w:t>New York</w:t>
            </w:r>
          </w:p>
        </w:tc>
      </w:tr>
      <w:tr>
        <w:trPr>
          <w:trHeight w:val="297"/>
        </w:trPr>
        <w:tc>
          <w:tcPr>
            <w:tcW w:w="5920" w:type="dxa"/>
            <w:vAlign w:val="bottom"/>
          </w:tcPr>
          <w:p>
            <w:pPr>
              <w:spacing w:after="0"/>
              <w:rPr>
                <w:sz w:val="20"/>
                <w:szCs w:val="20"/>
                <w:color w:val="auto"/>
              </w:rPr>
            </w:pPr>
            <w:r>
              <w:rPr>
                <w:rFonts w:ascii="Times New Roman" w:cs="Times New Roman" w:eastAsia="Times New Roman" w:hAnsi="Times New Roman"/>
                <w:sz w:val="20"/>
                <w:szCs w:val="20"/>
                <w:color w:val="auto"/>
              </w:rPr>
              <w:t>TI Inc. Books</w:t>
            </w:r>
          </w:p>
        </w:tc>
        <w:tc>
          <w:tcPr>
            <w:tcW w:w="4140" w:type="dxa"/>
            <w:vAlign w:val="bottom"/>
          </w:tcPr>
          <w:p>
            <w:pPr>
              <w:jc w:val="center"/>
              <w:ind w:left="250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97"/>
        </w:trPr>
        <w:tc>
          <w:tcPr>
            <w:tcW w:w="5920" w:type="dxa"/>
            <w:vAlign w:val="bottom"/>
          </w:tcPr>
          <w:p>
            <w:pPr>
              <w:spacing w:after="0"/>
              <w:rPr>
                <w:sz w:val="20"/>
                <w:szCs w:val="20"/>
                <w:color w:val="auto"/>
              </w:rPr>
            </w:pPr>
            <w:r>
              <w:rPr>
                <w:rFonts w:ascii="Times New Roman" w:cs="Times New Roman" w:eastAsia="Times New Roman" w:hAnsi="Times New Roman"/>
                <w:sz w:val="20"/>
                <w:szCs w:val="20"/>
                <w:color w:val="auto"/>
              </w:rPr>
              <w:t>TI Inc. Domestic Licensing</w:t>
            </w:r>
          </w:p>
        </w:tc>
        <w:tc>
          <w:tcPr>
            <w:tcW w:w="4140" w:type="dxa"/>
            <w:vAlign w:val="bottom"/>
          </w:tcPr>
          <w:p>
            <w:pPr>
              <w:jc w:val="center"/>
              <w:ind w:left="250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97"/>
        </w:trPr>
        <w:tc>
          <w:tcPr>
            <w:tcW w:w="5920" w:type="dxa"/>
            <w:vAlign w:val="bottom"/>
          </w:tcPr>
          <w:p>
            <w:pPr>
              <w:spacing w:after="0"/>
              <w:rPr>
                <w:sz w:val="20"/>
                <w:szCs w:val="20"/>
                <w:color w:val="auto"/>
              </w:rPr>
            </w:pPr>
            <w:r>
              <w:rPr>
                <w:rFonts w:ascii="Times New Roman" w:cs="Times New Roman" w:eastAsia="Times New Roman" w:hAnsi="Times New Roman"/>
                <w:sz w:val="20"/>
                <w:szCs w:val="20"/>
                <w:color w:val="auto"/>
              </w:rPr>
              <w:t>TI Inc. Food Studio Productions LLC</w:t>
            </w:r>
          </w:p>
        </w:tc>
        <w:tc>
          <w:tcPr>
            <w:tcW w:w="4140" w:type="dxa"/>
            <w:vAlign w:val="bottom"/>
          </w:tcPr>
          <w:p>
            <w:pPr>
              <w:jc w:val="center"/>
              <w:ind w:left="250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97"/>
        </w:trPr>
        <w:tc>
          <w:tcPr>
            <w:tcW w:w="5920" w:type="dxa"/>
            <w:vAlign w:val="bottom"/>
          </w:tcPr>
          <w:p>
            <w:pPr>
              <w:spacing w:after="0"/>
              <w:rPr>
                <w:sz w:val="20"/>
                <w:szCs w:val="20"/>
                <w:color w:val="auto"/>
              </w:rPr>
            </w:pPr>
            <w:r>
              <w:rPr>
                <w:rFonts w:ascii="Times New Roman" w:cs="Times New Roman" w:eastAsia="Times New Roman" w:hAnsi="Times New Roman"/>
                <w:sz w:val="20"/>
                <w:szCs w:val="20"/>
                <w:color w:val="auto"/>
              </w:rPr>
              <w:t>TI Inc. Play</w:t>
            </w:r>
          </w:p>
        </w:tc>
        <w:tc>
          <w:tcPr>
            <w:tcW w:w="4140" w:type="dxa"/>
            <w:vAlign w:val="bottom"/>
          </w:tcPr>
          <w:p>
            <w:pPr>
              <w:jc w:val="center"/>
              <w:ind w:left="250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97"/>
        </w:trPr>
        <w:tc>
          <w:tcPr>
            <w:tcW w:w="5920" w:type="dxa"/>
            <w:vAlign w:val="bottom"/>
          </w:tcPr>
          <w:p>
            <w:pPr>
              <w:spacing w:after="0"/>
              <w:rPr>
                <w:sz w:val="20"/>
                <w:szCs w:val="20"/>
                <w:color w:val="auto"/>
              </w:rPr>
            </w:pPr>
            <w:r>
              <w:rPr>
                <w:rFonts w:ascii="Times New Roman" w:cs="Times New Roman" w:eastAsia="Times New Roman" w:hAnsi="Times New Roman"/>
                <w:sz w:val="20"/>
                <w:szCs w:val="20"/>
                <w:color w:val="auto"/>
              </w:rPr>
              <w:t>TI Inc. Ventures</w:t>
            </w:r>
          </w:p>
        </w:tc>
        <w:tc>
          <w:tcPr>
            <w:tcW w:w="4140" w:type="dxa"/>
            <w:vAlign w:val="bottom"/>
          </w:tcPr>
          <w:p>
            <w:pPr>
              <w:jc w:val="center"/>
              <w:ind w:left="250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82"/>
        </w:trPr>
        <w:tc>
          <w:tcPr>
            <w:tcW w:w="5920" w:type="dxa"/>
            <w:vAlign w:val="bottom"/>
          </w:tcPr>
          <w:p>
            <w:pPr>
              <w:spacing w:after="0"/>
              <w:rPr>
                <w:sz w:val="20"/>
                <w:szCs w:val="20"/>
                <w:color w:val="auto"/>
              </w:rPr>
            </w:pPr>
            <w:r>
              <w:rPr>
                <w:rFonts w:ascii="Times New Roman" w:cs="Times New Roman" w:eastAsia="Times New Roman" w:hAnsi="Times New Roman"/>
                <w:sz w:val="20"/>
                <w:szCs w:val="20"/>
                <w:color w:val="auto"/>
              </w:rPr>
              <w:t>TI Interactive, LLC</w:t>
            </w:r>
          </w:p>
        </w:tc>
        <w:tc>
          <w:tcPr>
            <w:tcW w:w="4140" w:type="dxa"/>
            <w:vAlign w:val="bottom"/>
          </w:tcPr>
          <w:p>
            <w:pPr>
              <w:jc w:val="center"/>
              <w:ind w:left="250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85"/>
        </w:trPr>
        <w:tc>
          <w:tcPr>
            <w:tcW w:w="5920" w:type="dxa"/>
            <w:vAlign w:val="bottom"/>
          </w:tcPr>
          <w:p>
            <w:pPr>
              <w:spacing w:after="0"/>
              <w:rPr>
                <w:sz w:val="20"/>
                <w:szCs w:val="20"/>
                <w:color w:val="auto"/>
              </w:rPr>
            </w:pPr>
            <w:r>
              <w:rPr>
                <w:rFonts w:ascii="Times New Roman" w:cs="Times New Roman" w:eastAsia="Times New Roman" w:hAnsi="Times New Roman"/>
                <w:sz w:val="20"/>
                <w:szCs w:val="20"/>
                <w:color w:val="auto"/>
              </w:rPr>
              <w:t>TI International Fulfillment Services B.V.</w:t>
            </w:r>
          </w:p>
        </w:tc>
        <w:tc>
          <w:tcPr>
            <w:tcW w:w="4140" w:type="dxa"/>
            <w:vAlign w:val="bottom"/>
          </w:tcPr>
          <w:p>
            <w:pPr>
              <w:jc w:val="center"/>
              <w:ind w:left="2501"/>
              <w:spacing w:after="0"/>
              <w:rPr>
                <w:sz w:val="20"/>
                <w:szCs w:val="20"/>
                <w:color w:val="auto"/>
              </w:rPr>
            </w:pPr>
            <w:r>
              <w:rPr>
                <w:rFonts w:ascii="Times New Roman" w:cs="Times New Roman" w:eastAsia="Times New Roman" w:hAnsi="Times New Roman"/>
                <w:sz w:val="20"/>
                <w:szCs w:val="20"/>
                <w:color w:val="auto"/>
                <w:w w:val="97"/>
              </w:rPr>
              <w:t>Netherlands</w:t>
            </w:r>
          </w:p>
        </w:tc>
      </w:tr>
      <w:tr>
        <w:trPr>
          <w:trHeight w:val="283"/>
        </w:trPr>
        <w:tc>
          <w:tcPr>
            <w:tcW w:w="5920" w:type="dxa"/>
            <w:vAlign w:val="bottom"/>
          </w:tcPr>
          <w:p>
            <w:pPr>
              <w:spacing w:after="0"/>
              <w:rPr>
                <w:sz w:val="20"/>
                <w:szCs w:val="20"/>
                <w:color w:val="auto"/>
              </w:rPr>
            </w:pPr>
            <w:r>
              <w:rPr>
                <w:rFonts w:ascii="Times New Roman" w:cs="Times New Roman" w:eastAsia="Times New Roman" w:hAnsi="Times New Roman"/>
                <w:sz w:val="20"/>
                <w:szCs w:val="20"/>
                <w:color w:val="auto"/>
              </w:rPr>
              <w:t>TI International Holdings Inc.</w:t>
            </w:r>
          </w:p>
        </w:tc>
        <w:tc>
          <w:tcPr>
            <w:tcW w:w="4140" w:type="dxa"/>
            <w:vAlign w:val="bottom"/>
          </w:tcPr>
          <w:p>
            <w:pPr>
              <w:jc w:val="center"/>
              <w:ind w:left="250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97"/>
        </w:trPr>
        <w:tc>
          <w:tcPr>
            <w:tcW w:w="5920" w:type="dxa"/>
            <w:vAlign w:val="bottom"/>
          </w:tcPr>
          <w:p>
            <w:pPr>
              <w:spacing w:after="0"/>
              <w:rPr>
                <w:sz w:val="20"/>
                <w:szCs w:val="20"/>
                <w:color w:val="auto"/>
              </w:rPr>
            </w:pPr>
            <w:r>
              <w:rPr>
                <w:rFonts w:ascii="Times New Roman" w:cs="Times New Roman" w:eastAsia="Times New Roman" w:hAnsi="Times New Roman"/>
                <w:sz w:val="20"/>
                <w:szCs w:val="20"/>
                <w:color w:val="auto"/>
              </w:rPr>
              <w:t>TI Lifestyle Group, LLC</w:t>
            </w:r>
          </w:p>
        </w:tc>
        <w:tc>
          <w:tcPr>
            <w:tcW w:w="4140" w:type="dxa"/>
            <w:vAlign w:val="bottom"/>
          </w:tcPr>
          <w:p>
            <w:pPr>
              <w:jc w:val="center"/>
              <w:ind w:left="250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97"/>
        </w:trPr>
        <w:tc>
          <w:tcPr>
            <w:tcW w:w="5920" w:type="dxa"/>
            <w:vAlign w:val="bottom"/>
          </w:tcPr>
          <w:p>
            <w:pPr>
              <w:spacing w:after="0"/>
              <w:rPr>
                <w:sz w:val="20"/>
                <w:szCs w:val="20"/>
                <w:color w:val="auto"/>
              </w:rPr>
            </w:pPr>
            <w:r>
              <w:rPr>
                <w:rFonts w:ascii="Times New Roman" w:cs="Times New Roman" w:eastAsia="Times New Roman" w:hAnsi="Times New Roman"/>
                <w:sz w:val="20"/>
                <w:szCs w:val="20"/>
                <w:color w:val="auto"/>
              </w:rPr>
              <w:t>TI Live Events Inc.</w:t>
            </w:r>
          </w:p>
        </w:tc>
        <w:tc>
          <w:tcPr>
            <w:tcW w:w="4140" w:type="dxa"/>
            <w:vAlign w:val="bottom"/>
          </w:tcPr>
          <w:p>
            <w:pPr>
              <w:jc w:val="center"/>
              <w:ind w:left="250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97"/>
        </w:trPr>
        <w:tc>
          <w:tcPr>
            <w:tcW w:w="5920" w:type="dxa"/>
            <w:vAlign w:val="bottom"/>
          </w:tcPr>
          <w:p>
            <w:pPr>
              <w:spacing w:after="0"/>
              <w:rPr>
                <w:sz w:val="20"/>
                <w:szCs w:val="20"/>
                <w:color w:val="auto"/>
              </w:rPr>
            </w:pPr>
            <w:r>
              <w:rPr>
                <w:rFonts w:ascii="Times New Roman" w:cs="Times New Roman" w:eastAsia="Times New Roman" w:hAnsi="Times New Roman"/>
                <w:sz w:val="20"/>
                <w:szCs w:val="20"/>
                <w:color w:val="auto"/>
              </w:rPr>
              <w:t>TI Magazines Holdings Limited</w:t>
            </w:r>
          </w:p>
        </w:tc>
        <w:tc>
          <w:tcPr>
            <w:tcW w:w="4140" w:type="dxa"/>
            <w:vAlign w:val="bottom"/>
          </w:tcPr>
          <w:p>
            <w:pPr>
              <w:jc w:val="center"/>
              <w:ind w:left="2501"/>
              <w:spacing w:after="0"/>
              <w:rPr>
                <w:sz w:val="20"/>
                <w:szCs w:val="20"/>
                <w:color w:val="auto"/>
              </w:rPr>
            </w:pPr>
            <w:r>
              <w:rPr>
                <w:rFonts w:ascii="Times New Roman" w:cs="Times New Roman" w:eastAsia="Times New Roman" w:hAnsi="Times New Roman"/>
                <w:sz w:val="20"/>
                <w:szCs w:val="20"/>
                <w:color w:val="auto"/>
                <w:w w:val="98"/>
              </w:rPr>
              <w:t>England and Wales</w:t>
            </w:r>
          </w:p>
        </w:tc>
      </w:tr>
      <w:tr>
        <w:trPr>
          <w:trHeight w:val="297"/>
        </w:trPr>
        <w:tc>
          <w:tcPr>
            <w:tcW w:w="5920" w:type="dxa"/>
            <w:vAlign w:val="bottom"/>
          </w:tcPr>
          <w:p>
            <w:pPr>
              <w:spacing w:after="0"/>
              <w:rPr>
                <w:sz w:val="20"/>
                <w:szCs w:val="20"/>
                <w:color w:val="auto"/>
              </w:rPr>
            </w:pPr>
            <w:r>
              <w:rPr>
                <w:rFonts w:ascii="Times New Roman" w:cs="Times New Roman" w:eastAsia="Times New Roman" w:hAnsi="Times New Roman"/>
                <w:sz w:val="20"/>
                <w:szCs w:val="20"/>
                <w:color w:val="auto"/>
              </w:rPr>
              <w:t>TI Magazine Holdings LLC</w:t>
            </w:r>
          </w:p>
        </w:tc>
        <w:tc>
          <w:tcPr>
            <w:tcW w:w="4140" w:type="dxa"/>
            <w:vAlign w:val="bottom"/>
          </w:tcPr>
          <w:p>
            <w:pPr>
              <w:jc w:val="center"/>
              <w:ind w:left="250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97"/>
        </w:trPr>
        <w:tc>
          <w:tcPr>
            <w:tcW w:w="5920" w:type="dxa"/>
            <w:vAlign w:val="bottom"/>
          </w:tcPr>
          <w:p>
            <w:pPr>
              <w:spacing w:after="0"/>
              <w:rPr>
                <w:sz w:val="20"/>
                <w:szCs w:val="20"/>
                <w:color w:val="auto"/>
              </w:rPr>
            </w:pPr>
            <w:r>
              <w:rPr>
                <w:rFonts w:ascii="Times New Roman" w:cs="Times New Roman" w:eastAsia="Times New Roman" w:hAnsi="Times New Roman"/>
                <w:sz w:val="20"/>
                <w:szCs w:val="20"/>
                <w:color w:val="auto"/>
              </w:rPr>
              <w:t>TI Magazine Services LLC</w:t>
            </w:r>
          </w:p>
        </w:tc>
        <w:tc>
          <w:tcPr>
            <w:tcW w:w="4140" w:type="dxa"/>
            <w:vAlign w:val="bottom"/>
          </w:tcPr>
          <w:p>
            <w:pPr>
              <w:jc w:val="center"/>
              <w:ind w:left="250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82"/>
        </w:trPr>
        <w:tc>
          <w:tcPr>
            <w:tcW w:w="5920" w:type="dxa"/>
            <w:vAlign w:val="bottom"/>
          </w:tcPr>
          <w:p>
            <w:pPr>
              <w:spacing w:after="0"/>
              <w:rPr>
                <w:sz w:val="20"/>
                <w:szCs w:val="20"/>
                <w:color w:val="auto"/>
              </w:rPr>
            </w:pPr>
            <w:r>
              <w:rPr>
                <w:rFonts w:ascii="Times New Roman" w:cs="Times New Roman" w:eastAsia="Times New Roman" w:hAnsi="Times New Roman"/>
                <w:sz w:val="20"/>
                <w:szCs w:val="20"/>
                <w:color w:val="auto"/>
              </w:rPr>
              <w:t>TI Magazines Europe Ltd.</w:t>
            </w:r>
          </w:p>
        </w:tc>
        <w:tc>
          <w:tcPr>
            <w:tcW w:w="4140" w:type="dxa"/>
            <w:vAlign w:val="bottom"/>
          </w:tcPr>
          <w:p>
            <w:pPr>
              <w:jc w:val="center"/>
              <w:ind w:left="2501"/>
              <w:spacing w:after="0"/>
              <w:rPr>
                <w:sz w:val="20"/>
                <w:szCs w:val="20"/>
                <w:color w:val="auto"/>
              </w:rPr>
            </w:pPr>
            <w:r>
              <w:rPr>
                <w:rFonts w:ascii="Times New Roman" w:cs="Times New Roman" w:eastAsia="Times New Roman" w:hAnsi="Times New Roman"/>
                <w:sz w:val="20"/>
                <w:szCs w:val="20"/>
                <w:color w:val="auto"/>
                <w:w w:val="98"/>
              </w:rPr>
              <w:t>England and Wales</w:t>
            </w:r>
          </w:p>
        </w:tc>
      </w:tr>
      <w:tr>
        <w:trPr>
          <w:trHeight w:val="272"/>
        </w:trPr>
        <w:tc>
          <w:tcPr>
            <w:tcW w:w="5920" w:type="dxa"/>
            <w:vAlign w:val="bottom"/>
          </w:tcPr>
          <w:p>
            <w:pPr>
              <w:spacing w:after="0"/>
              <w:rPr>
                <w:sz w:val="20"/>
                <w:szCs w:val="20"/>
                <w:color w:val="auto"/>
              </w:rPr>
            </w:pPr>
            <w:r>
              <w:rPr>
                <w:rFonts w:ascii="Times New Roman" w:cs="Times New Roman" w:eastAsia="Times New Roman" w:hAnsi="Times New Roman"/>
                <w:sz w:val="20"/>
                <w:szCs w:val="20"/>
                <w:color w:val="auto"/>
              </w:rPr>
              <w:t>TI Mailing Services LLC</w:t>
            </w:r>
          </w:p>
        </w:tc>
        <w:tc>
          <w:tcPr>
            <w:tcW w:w="4140" w:type="dxa"/>
            <w:vAlign w:val="bottom"/>
          </w:tcPr>
          <w:p>
            <w:pPr>
              <w:jc w:val="center"/>
              <w:ind w:left="250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97"/>
        </w:trPr>
        <w:tc>
          <w:tcPr>
            <w:tcW w:w="5920" w:type="dxa"/>
            <w:vAlign w:val="bottom"/>
          </w:tcPr>
          <w:p>
            <w:pPr>
              <w:spacing w:after="0"/>
              <w:rPr>
                <w:sz w:val="20"/>
                <w:szCs w:val="20"/>
                <w:color w:val="auto"/>
              </w:rPr>
            </w:pPr>
            <w:r>
              <w:rPr>
                <w:rFonts w:ascii="Times New Roman" w:cs="Times New Roman" w:eastAsia="Times New Roman" w:hAnsi="Times New Roman"/>
                <w:sz w:val="20"/>
                <w:szCs w:val="20"/>
                <w:color w:val="auto"/>
              </w:rPr>
              <w:t>TI Marketing Services Inc.</w:t>
            </w:r>
          </w:p>
        </w:tc>
        <w:tc>
          <w:tcPr>
            <w:tcW w:w="4140" w:type="dxa"/>
            <w:vAlign w:val="bottom"/>
          </w:tcPr>
          <w:p>
            <w:pPr>
              <w:jc w:val="center"/>
              <w:ind w:left="250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97"/>
        </w:trPr>
        <w:tc>
          <w:tcPr>
            <w:tcW w:w="5920" w:type="dxa"/>
            <w:vAlign w:val="bottom"/>
          </w:tcPr>
          <w:p>
            <w:pPr>
              <w:spacing w:after="0"/>
              <w:rPr>
                <w:sz w:val="20"/>
                <w:szCs w:val="20"/>
                <w:color w:val="auto"/>
              </w:rPr>
            </w:pPr>
            <w:r>
              <w:rPr>
                <w:rFonts w:ascii="Times New Roman" w:cs="Times New Roman" w:eastAsia="Times New Roman" w:hAnsi="Times New Roman"/>
                <w:sz w:val="20"/>
                <w:szCs w:val="20"/>
                <w:color w:val="auto"/>
              </w:rPr>
              <w:t>TI Media Solutions Inc.</w:t>
            </w:r>
          </w:p>
        </w:tc>
        <w:tc>
          <w:tcPr>
            <w:tcW w:w="4140" w:type="dxa"/>
            <w:vAlign w:val="bottom"/>
          </w:tcPr>
          <w:p>
            <w:pPr>
              <w:jc w:val="center"/>
              <w:ind w:left="250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97"/>
        </w:trPr>
        <w:tc>
          <w:tcPr>
            <w:tcW w:w="5920" w:type="dxa"/>
            <w:vAlign w:val="bottom"/>
          </w:tcPr>
          <w:p>
            <w:pPr>
              <w:spacing w:after="0"/>
              <w:rPr>
                <w:sz w:val="20"/>
                <w:szCs w:val="20"/>
                <w:color w:val="auto"/>
              </w:rPr>
            </w:pPr>
            <w:r>
              <w:rPr>
                <w:rFonts w:ascii="Times New Roman" w:cs="Times New Roman" w:eastAsia="Times New Roman" w:hAnsi="Times New Roman"/>
                <w:sz w:val="20"/>
                <w:szCs w:val="20"/>
                <w:color w:val="auto"/>
              </w:rPr>
              <w:t>TI Mexico Holdings Inc.</w:t>
            </w:r>
          </w:p>
        </w:tc>
        <w:tc>
          <w:tcPr>
            <w:tcW w:w="4140" w:type="dxa"/>
            <w:vAlign w:val="bottom"/>
          </w:tcPr>
          <w:p>
            <w:pPr>
              <w:jc w:val="center"/>
              <w:ind w:left="250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97"/>
        </w:trPr>
        <w:tc>
          <w:tcPr>
            <w:tcW w:w="5920" w:type="dxa"/>
            <w:vAlign w:val="bottom"/>
          </w:tcPr>
          <w:p>
            <w:pPr>
              <w:spacing w:after="0"/>
              <w:rPr>
                <w:sz w:val="20"/>
                <w:szCs w:val="20"/>
                <w:color w:val="auto"/>
              </w:rPr>
            </w:pPr>
            <w:r>
              <w:rPr>
                <w:rFonts w:ascii="Times New Roman" w:cs="Times New Roman" w:eastAsia="Times New Roman" w:hAnsi="Times New Roman"/>
                <w:sz w:val="20"/>
                <w:szCs w:val="20"/>
                <w:color w:val="auto"/>
              </w:rPr>
              <w:t>TI Paperco Inc.</w:t>
            </w:r>
          </w:p>
        </w:tc>
        <w:tc>
          <w:tcPr>
            <w:tcW w:w="4140" w:type="dxa"/>
            <w:vAlign w:val="bottom"/>
          </w:tcPr>
          <w:p>
            <w:pPr>
              <w:jc w:val="center"/>
              <w:ind w:left="250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97"/>
        </w:trPr>
        <w:tc>
          <w:tcPr>
            <w:tcW w:w="5920" w:type="dxa"/>
            <w:vAlign w:val="bottom"/>
          </w:tcPr>
          <w:p>
            <w:pPr>
              <w:spacing w:after="0"/>
              <w:rPr>
                <w:sz w:val="20"/>
                <w:szCs w:val="20"/>
                <w:color w:val="auto"/>
              </w:rPr>
            </w:pPr>
            <w:r>
              <w:rPr>
                <w:rFonts w:ascii="Times New Roman" w:cs="Times New Roman" w:eastAsia="Times New Roman" w:hAnsi="Times New Roman"/>
                <w:sz w:val="20"/>
                <w:szCs w:val="20"/>
                <w:color w:val="auto"/>
              </w:rPr>
              <w:t>TI Parsippany Inc.</w:t>
            </w:r>
          </w:p>
        </w:tc>
        <w:tc>
          <w:tcPr>
            <w:tcW w:w="4140" w:type="dxa"/>
            <w:vAlign w:val="bottom"/>
          </w:tcPr>
          <w:p>
            <w:pPr>
              <w:jc w:val="center"/>
              <w:ind w:left="250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82"/>
        </w:trPr>
        <w:tc>
          <w:tcPr>
            <w:tcW w:w="5920" w:type="dxa"/>
            <w:vAlign w:val="bottom"/>
          </w:tcPr>
          <w:p>
            <w:pPr>
              <w:spacing w:after="0"/>
              <w:rPr>
                <w:sz w:val="20"/>
                <w:szCs w:val="20"/>
                <w:color w:val="auto"/>
              </w:rPr>
            </w:pPr>
            <w:r>
              <w:rPr>
                <w:rFonts w:ascii="Times New Roman" w:cs="Times New Roman" w:eastAsia="Times New Roman" w:hAnsi="Times New Roman"/>
                <w:sz w:val="20"/>
                <w:szCs w:val="20"/>
                <w:color w:val="auto"/>
              </w:rPr>
              <w:t>TI Publications De Mexico, S.A. De C.V.</w:t>
            </w:r>
          </w:p>
        </w:tc>
        <w:tc>
          <w:tcPr>
            <w:tcW w:w="4140" w:type="dxa"/>
            <w:vAlign w:val="bottom"/>
          </w:tcPr>
          <w:p>
            <w:pPr>
              <w:jc w:val="center"/>
              <w:ind w:left="2501"/>
              <w:spacing w:after="0"/>
              <w:rPr>
                <w:sz w:val="20"/>
                <w:szCs w:val="20"/>
                <w:color w:val="auto"/>
              </w:rPr>
            </w:pPr>
            <w:r>
              <w:rPr>
                <w:rFonts w:ascii="Times New Roman" w:cs="Times New Roman" w:eastAsia="Times New Roman" w:hAnsi="Times New Roman"/>
                <w:sz w:val="20"/>
                <w:szCs w:val="20"/>
                <w:color w:val="auto"/>
              </w:rPr>
              <w:t>Mexico</w:t>
            </w:r>
          </w:p>
        </w:tc>
      </w:tr>
      <w:tr>
        <w:trPr>
          <w:trHeight w:val="272"/>
        </w:trPr>
        <w:tc>
          <w:tcPr>
            <w:tcW w:w="5920" w:type="dxa"/>
            <w:vAlign w:val="bottom"/>
          </w:tcPr>
          <w:p>
            <w:pPr>
              <w:spacing w:after="0"/>
              <w:rPr>
                <w:sz w:val="20"/>
                <w:szCs w:val="20"/>
                <w:color w:val="auto"/>
              </w:rPr>
            </w:pPr>
            <w:r>
              <w:rPr>
                <w:rFonts w:ascii="Times New Roman" w:cs="Times New Roman" w:eastAsia="Times New Roman" w:hAnsi="Times New Roman"/>
                <w:sz w:val="20"/>
                <w:szCs w:val="20"/>
                <w:color w:val="auto"/>
              </w:rPr>
              <w:t>TI Publishing Ventures, Inc.</w:t>
            </w:r>
          </w:p>
        </w:tc>
        <w:tc>
          <w:tcPr>
            <w:tcW w:w="4140" w:type="dxa"/>
            <w:vAlign w:val="bottom"/>
          </w:tcPr>
          <w:p>
            <w:pPr>
              <w:jc w:val="center"/>
              <w:ind w:left="250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97"/>
        </w:trPr>
        <w:tc>
          <w:tcPr>
            <w:tcW w:w="5920" w:type="dxa"/>
            <w:vAlign w:val="bottom"/>
          </w:tcPr>
          <w:p>
            <w:pPr>
              <w:spacing w:after="0"/>
              <w:rPr>
                <w:sz w:val="20"/>
                <w:szCs w:val="20"/>
                <w:color w:val="auto"/>
              </w:rPr>
            </w:pPr>
            <w:r>
              <w:rPr>
                <w:rFonts w:ascii="Times New Roman" w:cs="Times New Roman" w:eastAsia="Times New Roman" w:hAnsi="Times New Roman"/>
                <w:sz w:val="20"/>
                <w:szCs w:val="20"/>
                <w:color w:val="auto"/>
              </w:rPr>
              <w:t>TI Real Estate Services Inc.</w:t>
            </w:r>
          </w:p>
        </w:tc>
        <w:tc>
          <w:tcPr>
            <w:tcW w:w="4140" w:type="dxa"/>
            <w:vAlign w:val="bottom"/>
          </w:tcPr>
          <w:p>
            <w:pPr>
              <w:jc w:val="center"/>
              <w:ind w:left="250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82"/>
        </w:trPr>
        <w:tc>
          <w:tcPr>
            <w:tcW w:w="5920" w:type="dxa"/>
            <w:vAlign w:val="bottom"/>
          </w:tcPr>
          <w:p>
            <w:pPr>
              <w:spacing w:after="0"/>
              <w:rPr>
                <w:sz w:val="20"/>
                <w:szCs w:val="20"/>
                <w:color w:val="auto"/>
              </w:rPr>
            </w:pPr>
            <w:r>
              <w:rPr>
                <w:rFonts w:ascii="Times New Roman" w:cs="Times New Roman" w:eastAsia="Times New Roman" w:hAnsi="Times New Roman"/>
                <w:sz w:val="20"/>
                <w:szCs w:val="20"/>
                <w:color w:val="auto"/>
              </w:rPr>
              <w:t>TI Retail Canada Inc.</w:t>
            </w:r>
          </w:p>
        </w:tc>
        <w:tc>
          <w:tcPr>
            <w:tcW w:w="4140" w:type="dxa"/>
            <w:vAlign w:val="bottom"/>
          </w:tcPr>
          <w:p>
            <w:pPr>
              <w:jc w:val="center"/>
              <w:ind w:left="2501"/>
              <w:spacing w:after="0"/>
              <w:rPr>
                <w:sz w:val="20"/>
                <w:szCs w:val="20"/>
                <w:color w:val="auto"/>
              </w:rPr>
            </w:pPr>
            <w:r>
              <w:rPr>
                <w:rFonts w:ascii="Times New Roman" w:cs="Times New Roman" w:eastAsia="Times New Roman" w:hAnsi="Times New Roman"/>
                <w:sz w:val="20"/>
                <w:szCs w:val="20"/>
                <w:color w:val="auto"/>
                <w:w w:val="96"/>
              </w:rPr>
              <w:t>Canada</w:t>
            </w:r>
          </w:p>
        </w:tc>
      </w:tr>
      <w:tr>
        <w:trPr>
          <w:trHeight w:val="272"/>
        </w:trPr>
        <w:tc>
          <w:tcPr>
            <w:tcW w:w="5920" w:type="dxa"/>
            <w:vAlign w:val="bottom"/>
          </w:tcPr>
          <w:p>
            <w:pPr>
              <w:spacing w:after="0"/>
              <w:rPr>
                <w:sz w:val="20"/>
                <w:szCs w:val="20"/>
                <w:color w:val="auto"/>
              </w:rPr>
            </w:pPr>
            <w:r>
              <w:rPr>
                <w:rFonts w:ascii="Times New Roman" w:cs="Times New Roman" w:eastAsia="Times New Roman" w:hAnsi="Times New Roman"/>
                <w:sz w:val="20"/>
                <w:szCs w:val="20"/>
                <w:color w:val="auto"/>
              </w:rPr>
              <w:t>TI Retail Service Group, LLC</w:t>
            </w:r>
          </w:p>
        </w:tc>
        <w:tc>
          <w:tcPr>
            <w:tcW w:w="4140" w:type="dxa"/>
            <w:vAlign w:val="bottom"/>
          </w:tcPr>
          <w:p>
            <w:pPr>
              <w:jc w:val="center"/>
              <w:ind w:left="250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82"/>
        </w:trPr>
        <w:tc>
          <w:tcPr>
            <w:tcW w:w="5920" w:type="dxa"/>
            <w:vAlign w:val="bottom"/>
          </w:tcPr>
          <w:p>
            <w:pPr>
              <w:spacing w:after="0"/>
              <w:rPr>
                <w:sz w:val="20"/>
                <w:szCs w:val="20"/>
                <w:color w:val="auto"/>
              </w:rPr>
            </w:pPr>
            <w:r>
              <w:rPr>
                <w:rFonts w:ascii="Times New Roman" w:cs="Times New Roman" w:eastAsia="Times New Roman" w:hAnsi="Times New Roman"/>
                <w:sz w:val="20"/>
                <w:szCs w:val="20"/>
                <w:color w:val="auto"/>
              </w:rPr>
              <w:t>TI Retail, LLC</w:t>
            </w:r>
          </w:p>
        </w:tc>
        <w:tc>
          <w:tcPr>
            <w:tcW w:w="4140" w:type="dxa"/>
            <w:vAlign w:val="bottom"/>
          </w:tcPr>
          <w:p>
            <w:pPr>
              <w:jc w:val="center"/>
              <w:ind w:left="250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72"/>
        </w:trPr>
        <w:tc>
          <w:tcPr>
            <w:tcW w:w="5920" w:type="dxa"/>
            <w:vAlign w:val="bottom"/>
          </w:tcPr>
          <w:p>
            <w:pPr>
              <w:spacing w:after="0"/>
              <w:rPr>
                <w:sz w:val="20"/>
                <w:szCs w:val="20"/>
                <w:color w:val="auto"/>
              </w:rPr>
            </w:pPr>
            <w:r>
              <w:rPr>
                <w:rFonts w:ascii="Times New Roman" w:cs="Times New Roman" w:eastAsia="Times New Roman" w:hAnsi="Times New Roman"/>
                <w:sz w:val="20"/>
                <w:szCs w:val="20"/>
                <w:color w:val="auto"/>
              </w:rPr>
              <w:t>TI Sales Holdings LLC</w:t>
            </w:r>
          </w:p>
        </w:tc>
        <w:tc>
          <w:tcPr>
            <w:tcW w:w="4140" w:type="dxa"/>
            <w:vAlign w:val="bottom"/>
          </w:tcPr>
          <w:p>
            <w:pPr>
              <w:jc w:val="center"/>
              <w:ind w:left="250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82"/>
        </w:trPr>
        <w:tc>
          <w:tcPr>
            <w:tcW w:w="5920" w:type="dxa"/>
            <w:vAlign w:val="bottom"/>
          </w:tcPr>
          <w:p>
            <w:pPr>
              <w:spacing w:after="0"/>
              <w:rPr>
                <w:sz w:val="20"/>
                <w:szCs w:val="20"/>
                <w:color w:val="auto"/>
              </w:rPr>
            </w:pPr>
            <w:r>
              <w:rPr>
                <w:rFonts w:ascii="Times New Roman" w:cs="Times New Roman" w:eastAsia="Times New Roman" w:hAnsi="Times New Roman"/>
                <w:sz w:val="20"/>
                <w:szCs w:val="20"/>
                <w:color w:val="auto"/>
              </w:rPr>
              <w:t>TI Shared Services Inc.</w:t>
            </w:r>
          </w:p>
        </w:tc>
        <w:tc>
          <w:tcPr>
            <w:tcW w:w="4140" w:type="dxa"/>
            <w:vAlign w:val="bottom"/>
          </w:tcPr>
          <w:p>
            <w:pPr>
              <w:jc w:val="center"/>
              <w:ind w:left="250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72"/>
        </w:trPr>
        <w:tc>
          <w:tcPr>
            <w:tcW w:w="5920" w:type="dxa"/>
            <w:vAlign w:val="bottom"/>
          </w:tcPr>
          <w:p>
            <w:pPr>
              <w:spacing w:after="0"/>
              <w:rPr>
                <w:sz w:val="20"/>
                <w:szCs w:val="20"/>
                <w:color w:val="auto"/>
              </w:rPr>
            </w:pPr>
            <w:r>
              <w:rPr>
                <w:rFonts w:ascii="Times New Roman" w:cs="Times New Roman" w:eastAsia="Times New Roman" w:hAnsi="Times New Roman"/>
                <w:sz w:val="20"/>
                <w:szCs w:val="20"/>
                <w:color w:val="auto"/>
              </w:rPr>
              <w:t>TI Sports Productions, LLC</w:t>
            </w:r>
          </w:p>
        </w:tc>
        <w:tc>
          <w:tcPr>
            <w:tcW w:w="4140" w:type="dxa"/>
            <w:vAlign w:val="bottom"/>
          </w:tcPr>
          <w:p>
            <w:pPr>
              <w:jc w:val="center"/>
              <w:ind w:left="250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97"/>
        </w:trPr>
        <w:tc>
          <w:tcPr>
            <w:tcW w:w="5920" w:type="dxa"/>
            <w:vAlign w:val="bottom"/>
          </w:tcPr>
          <w:p>
            <w:pPr>
              <w:spacing w:after="0"/>
              <w:rPr>
                <w:sz w:val="20"/>
                <w:szCs w:val="20"/>
                <w:color w:val="auto"/>
              </w:rPr>
            </w:pPr>
            <w:r>
              <w:rPr>
                <w:rFonts w:ascii="Times New Roman" w:cs="Times New Roman" w:eastAsia="Times New Roman" w:hAnsi="Times New Roman"/>
                <w:sz w:val="20"/>
                <w:szCs w:val="20"/>
                <w:color w:val="auto"/>
              </w:rPr>
              <w:t>TI Sports Ventures, LLC</w:t>
            </w:r>
          </w:p>
        </w:tc>
        <w:tc>
          <w:tcPr>
            <w:tcW w:w="4140" w:type="dxa"/>
            <w:vAlign w:val="bottom"/>
          </w:tcPr>
          <w:p>
            <w:pPr>
              <w:jc w:val="center"/>
              <w:ind w:left="250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97"/>
        </w:trPr>
        <w:tc>
          <w:tcPr>
            <w:tcW w:w="5920" w:type="dxa"/>
            <w:vAlign w:val="bottom"/>
          </w:tcPr>
          <w:p>
            <w:pPr>
              <w:spacing w:after="0"/>
              <w:rPr>
                <w:sz w:val="20"/>
                <w:szCs w:val="20"/>
                <w:color w:val="auto"/>
              </w:rPr>
            </w:pPr>
            <w:r>
              <w:rPr>
                <w:rFonts w:ascii="Times New Roman" w:cs="Times New Roman" w:eastAsia="Times New Roman" w:hAnsi="Times New Roman"/>
                <w:sz w:val="20"/>
                <w:szCs w:val="20"/>
                <w:color w:val="auto"/>
              </w:rPr>
              <w:t>TI TV Corporation</w:t>
            </w:r>
          </w:p>
        </w:tc>
        <w:tc>
          <w:tcPr>
            <w:tcW w:w="4140" w:type="dxa"/>
            <w:vAlign w:val="bottom"/>
          </w:tcPr>
          <w:p>
            <w:pPr>
              <w:jc w:val="center"/>
              <w:ind w:left="2501"/>
              <w:spacing w:after="0"/>
              <w:rPr>
                <w:sz w:val="20"/>
                <w:szCs w:val="20"/>
                <w:color w:val="auto"/>
              </w:rPr>
            </w:pPr>
            <w:r>
              <w:rPr>
                <w:rFonts w:ascii="Times New Roman" w:cs="Times New Roman" w:eastAsia="Times New Roman" w:hAnsi="Times New Roman"/>
                <w:sz w:val="20"/>
                <w:szCs w:val="20"/>
                <w:color w:val="auto"/>
                <w:w w:val="96"/>
              </w:rPr>
              <w:t>Delaware</w:t>
            </w:r>
          </w:p>
        </w:tc>
      </w:tr>
    </w:tbl>
    <w:p>
      <w:pPr>
        <w:sectPr>
          <w:pgSz w:w="11900" w:h="16838" w:orient="portrait"/>
          <w:cols w:equalWidth="0" w:num="1">
            <w:col w:w="10860"/>
          </w:cols>
          <w:pgMar w:left="340" w:top="117" w:right="699" w:bottom="63" w:gutter="0" w:footer="0" w:header="0"/>
        </w:sectPr>
      </w:pPr>
    </w:p>
    <w:bookmarkStart w:id="193" w:name="page194"/>
    <w:bookmarkEnd w:id="193"/>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94" w:name="page195"/>
    <w:bookmarkEnd w:id="194"/>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920" w:type="dxa"/>
            <w:vAlign w:val="bottom"/>
          </w:tcPr>
          <w:p>
            <w:pPr>
              <w:spacing w:after="0"/>
              <w:rPr>
                <w:sz w:val="20"/>
                <w:szCs w:val="20"/>
                <w:color w:val="auto"/>
              </w:rPr>
            </w:pPr>
            <w:r>
              <w:rPr>
                <w:rFonts w:ascii="Times New Roman" w:cs="Times New Roman" w:eastAsia="Times New Roman" w:hAnsi="Times New Roman"/>
                <w:sz w:val="20"/>
                <w:szCs w:val="20"/>
                <w:color w:val="auto"/>
              </w:rPr>
              <w:t>Time-Life International (Philippines) Inc.</w:t>
            </w:r>
          </w:p>
        </w:tc>
        <w:tc>
          <w:tcPr>
            <w:tcW w:w="4140" w:type="dxa"/>
            <w:vAlign w:val="bottom"/>
          </w:tcPr>
          <w:p>
            <w:pPr>
              <w:jc w:val="center"/>
              <w:ind w:left="2501"/>
              <w:spacing w:after="0"/>
              <w:rPr>
                <w:sz w:val="20"/>
                <w:szCs w:val="20"/>
                <w:color w:val="auto"/>
              </w:rPr>
            </w:pPr>
            <w:r>
              <w:rPr>
                <w:rFonts w:ascii="Times New Roman" w:cs="Times New Roman" w:eastAsia="Times New Roman" w:hAnsi="Times New Roman"/>
                <w:sz w:val="20"/>
                <w:szCs w:val="20"/>
                <w:color w:val="auto"/>
                <w:w w:val="99"/>
              </w:rPr>
              <w:t>Philippines</w:t>
            </w:r>
          </w:p>
        </w:tc>
      </w:tr>
      <w:tr>
        <w:trPr>
          <w:trHeight w:val="256"/>
        </w:trPr>
        <w:tc>
          <w:tcPr>
            <w:tcW w:w="5920" w:type="dxa"/>
            <w:vAlign w:val="bottom"/>
          </w:tcPr>
          <w:p>
            <w:pPr>
              <w:spacing w:after="0"/>
              <w:rPr>
                <w:sz w:val="20"/>
                <w:szCs w:val="20"/>
                <w:color w:val="auto"/>
              </w:rPr>
            </w:pPr>
            <w:r>
              <w:rPr>
                <w:rFonts w:ascii="Times New Roman" w:cs="Times New Roman" w:eastAsia="Times New Roman" w:hAnsi="Times New Roman"/>
                <w:sz w:val="20"/>
                <w:szCs w:val="20"/>
                <w:color w:val="auto"/>
              </w:rPr>
              <w:t>Town &amp; Country Resources, Inc.</w:t>
            </w:r>
          </w:p>
        </w:tc>
        <w:tc>
          <w:tcPr>
            <w:tcW w:w="4140" w:type="dxa"/>
            <w:vAlign w:val="bottom"/>
          </w:tcPr>
          <w:p>
            <w:pPr>
              <w:jc w:val="center"/>
              <w:ind w:left="250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57"/>
        </w:trPr>
        <w:tc>
          <w:tcPr>
            <w:tcW w:w="5920" w:type="dxa"/>
            <w:vAlign w:val="bottom"/>
          </w:tcPr>
          <w:p>
            <w:pPr>
              <w:spacing w:after="0"/>
              <w:rPr>
                <w:sz w:val="20"/>
                <w:szCs w:val="20"/>
                <w:color w:val="auto"/>
              </w:rPr>
            </w:pPr>
            <w:r>
              <w:rPr>
                <w:rFonts w:ascii="Times New Roman" w:cs="Times New Roman" w:eastAsia="Times New Roman" w:hAnsi="Times New Roman"/>
                <w:sz w:val="20"/>
                <w:szCs w:val="20"/>
                <w:color w:val="auto"/>
              </w:rPr>
              <w:t>Travaux.com S.à.r.l.</w:t>
            </w:r>
          </w:p>
        </w:tc>
        <w:tc>
          <w:tcPr>
            <w:tcW w:w="4140" w:type="dxa"/>
            <w:vAlign w:val="bottom"/>
          </w:tcPr>
          <w:p>
            <w:pPr>
              <w:jc w:val="center"/>
              <w:ind w:left="2501"/>
              <w:spacing w:after="0"/>
              <w:rPr>
                <w:sz w:val="20"/>
                <w:szCs w:val="20"/>
                <w:color w:val="auto"/>
              </w:rPr>
            </w:pPr>
            <w:r>
              <w:rPr>
                <w:rFonts w:ascii="Times New Roman" w:cs="Times New Roman" w:eastAsia="Times New Roman" w:hAnsi="Times New Roman"/>
                <w:sz w:val="20"/>
                <w:szCs w:val="20"/>
                <w:color w:val="auto"/>
                <w:w w:val="99"/>
              </w:rPr>
              <w:t>France</w:t>
            </w:r>
          </w:p>
        </w:tc>
      </w:tr>
      <w:tr>
        <w:trPr>
          <w:trHeight w:val="257"/>
        </w:trPr>
        <w:tc>
          <w:tcPr>
            <w:tcW w:w="5920" w:type="dxa"/>
            <w:vAlign w:val="bottom"/>
          </w:tcPr>
          <w:p>
            <w:pPr>
              <w:spacing w:after="0"/>
              <w:rPr>
                <w:sz w:val="20"/>
                <w:szCs w:val="20"/>
                <w:color w:val="auto"/>
              </w:rPr>
            </w:pPr>
            <w:r>
              <w:rPr>
                <w:rFonts w:ascii="Times New Roman" w:cs="Times New Roman" w:eastAsia="Times New Roman" w:hAnsi="Times New Roman"/>
                <w:sz w:val="20"/>
                <w:szCs w:val="20"/>
                <w:color w:val="auto"/>
              </w:rPr>
              <w:t>USA Video Distribution LLC</w:t>
            </w:r>
          </w:p>
        </w:tc>
        <w:tc>
          <w:tcPr>
            <w:tcW w:w="4140" w:type="dxa"/>
            <w:vAlign w:val="bottom"/>
          </w:tcPr>
          <w:p>
            <w:pPr>
              <w:jc w:val="center"/>
              <w:ind w:left="250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57"/>
        </w:trPr>
        <w:tc>
          <w:tcPr>
            <w:tcW w:w="5920" w:type="dxa"/>
            <w:vAlign w:val="bottom"/>
          </w:tcPr>
          <w:p>
            <w:pPr>
              <w:spacing w:after="0"/>
              <w:rPr>
                <w:sz w:val="20"/>
                <w:szCs w:val="20"/>
                <w:color w:val="auto"/>
              </w:rPr>
            </w:pPr>
            <w:r>
              <w:rPr>
                <w:rFonts w:ascii="Times New Roman" w:cs="Times New Roman" w:eastAsia="Times New Roman" w:hAnsi="Times New Roman"/>
                <w:sz w:val="20"/>
                <w:szCs w:val="20"/>
                <w:color w:val="auto"/>
              </w:rPr>
              <w:t>USANi LLC</w:t>
            </w:r>
          </w:p>
        </w:tc>
        <w:tc>
          <w:tcPr>
            <w:tcW w:w="4140" w:type="dxa"/>
            <w:vAlign w:val="bottom"/>
          </w:tcPr>
          <w:p>
            <w:pPr>
              <w:jc w:val="center"/>
              <w:ind w:left="250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57"/>
        </w:trPr>
        <w:tc>
          <w:tcPr>
            <w:tcW w:w="5920" w:type="dxa"/>
            <w:vAlign w:val="bottom"/>
          </w:tcPr>
          <w:p>
            <w:pPr>
              <w:spacing w:after="0"/>
              <w:rPr>
                <w:sz w:val="20"/>
                <w:szCs w:val="20"/>
                <w:color w:val="auto"/>
              </w:rPr>
            </w:pPr>
            <w:r>
              <w:rPr>
                <w:rFonts w:ascii="Times New Roman" w:cs="Times New Roman" w:eastAsia="Times New Roman" w:hAnsi="Times New Roman"/>
                <w:sz w:val="20"/>
                <w:szCs w:val="20"/>
                <w:color w:val="auto"/>
              </w:rPr>
              <w:t>USANi Sub LLC</w:t>
            </w:r>
          </w:p>
        </w:tc>
        <w:tc>
          <w:tcPr>
            <w:tcW w:w="4140" w:type="dxa"/>
            <w:vAlign w:val="bottom"/>
          </w:tcPr>
          <w:p>
            <w:pPr>
              <w:jc w:val="center"/>
              <w:ind w:left="250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72"/>
        </w:trPr>
        <w:tc>
          <w:tcPr>
            <w:tcW w:w="5920" w:type="dxa"/>
            <w:vAlign w:val="bottom"/>
          </w:tcPr>
          <w:p>
            <w:pPr>
              <w:spacing w:after="0"/>
              <w:rPr>
                <w:sz w:val="20"/>
                <w:szCs w:val="20"/>
                <w:color w:val="auto"/>
              </w:rPr>
            </w:pPr>
            <w:r>
              <w:rPr>
                <w:rFonts w:ascii="Times New Roman" w:cs="Times New Roman" w:eastAsia="Times New Roman" w:hAnsi="Times New Roman"/>
                <w:sz w:val="20"/>
                <w:szCs w:val="20"/>
                <w:color w:val="auto"/>
              </w:rPr>
              <w:t>Vertical Media Solutions Inc.</w:t>
            </w:r>
          </w:p>
        </w:tc>
        <w:tc>
          <w:tcPr>
            <w:tcW w:w="4140" w:type="dxa"/>
            <w:vAlign w:val="bottom"/>
          </w:tcPr>
          <w:p>
            <w:pPr>
              <w:jc w:val="center"/>
              <w:ind w:left="250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97"/>
        </w:trPr>
        <w:tc>
          <w:tcPr>
            <w:tcW w:w="5920" w:type="dxa"/>
            <w:vAlign w:val="bottom"/>
          </w:tcPr>
          <w:p>
            <w:pPr>
              <w:spacing w:after="0"/>
              <w:rPr>
                <w:sz w:val="20"/>
                <w:szCs w:val="20"/>
                <w:color w:val="auto"/>
              </w:rPr>
            </w:pPr>
            <w:r>
              <w:rPr>
                <w:rFonts w:ascii="Times New Roman" w:cs="Times New Roman" w:eastAsia="Times New Roman" w:hAnsi="Times New Roman"/>
                <w:sz w:val="20"/>
                <w:szCs w:val="20"/>
                <w:color w:val="auto"/>
              </w:rPr>
              <w:t>Viant Technology Holding Inc.</w:t>
            </w:r>
          </w:p>
        </w:tc>
        <w:tc>
          <w:tcPr>
            <w:tcW w:w="4140" w:type="dxa"/>
            <w:vAlign w:val="bottom"/>
          </w:tcPr>
          <w:p>
            <w:pPr>
              <w:jc w:val="center"/>
              <w:ind w:left="250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82"/>
        </w:trPr>
        <w:tc>
          <w:tcPr>
            <w:tcW w:w="59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Vivian Health, Inc.</w:t>
            </w:r>
          </w:p>
        </w:tc>
        <w:tc>
          <w:tcPr>
            <w:tcW w:w="4140" w:type="dxa"/>
            <w:vAlign w:val="bottom"/>
          </w:tcPr>
          <w:p>
            <w:pPr>
              <w:jc w:val="center"/>
              <w:ind w:left="250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57"/>
        </w:trPr>
        <w:tc>
          <w:tcPr>
            <w:tcW w:w="5920" w:type="dxa"/>
            <w:vAlign w:val="bottom"/>
          </w:tcPr>
          <w:p>
            <w:pPr>
              <w:spacing w:after="0"/>
              <w:rPr>
                <w:sz w:val="20"/>
                <w:szCs w:val="20"/>
                <w:color w:val="auto"/>
              </w:rPr>
            </w:pPr>
            <w:r>
              <w:rPr>
                <w:rFonts w:ascii="Times New Roman" w:cs="Times New Roman" w:eastAsia="Times New Roman" w:hAnsi="Times New Roman"/>
                <w:sz w:val="20"/>
                <w:szCs w:val="20"/>
                <w:color w:val="auto"/>
              </w:rPr>
              <w:t>Wanderspot LLC</w:t>
            </w:r>
          </w:p>
        </w:tc>
        <w:tc>
          <w:tcPr>
            <w:tcW w:w="4140" w:type="dxa"/>
            <w:vAlign w:val="bottom"/>
          </w:tcPr>
          <w:p>
            <w:pPr>
              <w:jc w:val="center"/>
              <w:ind w:left="2501"/>
              <w:spacing w:after="0"/>
              <w:rPr>
                <w:sz w:val="20"/>
                <w:szCs w:val="20"/>
                <w:color w:val="auto"/>
              </w:rPr>
            </w:pPr>
            <w:r>
              <w:rPr>
                <w:rFonts w:ascii="Times New Roman" w:cs="Times New Roman" w:eastAsia="Times New Roman" w:hAnsi="Times New Roman"/>
                <w:sz w:val="20"/>
                <w:szCs w:val="20"/>
                <w:color w:val="auto"/>
                <w:w w:val="97"/>
              </w:rPr>
              <w:t>Washington</w:t>
            </w:r>
          </w:p>
        </w:tc>
      </w:tr>
      <w:tr>
        <w:trPr>
          <w:trHeight w:val="272"/>
        </w:trPr>
        <w:tc>
          <w:tcPr>
            <w:tcW w:w="5920" w:type="dxa"/>
            <w:vAlign w:val="bottom"/>
          </w:tcPr>
          <w:p>
            <w:pPr>
              <w:spacing w:after="0"/>
              <w:rPr>
                <w:sz w:val="20"/>
                <w:szCs w:val="20"/>
                <w:color w:val="auto"/>
              </w:rPr>
            </w:pPr>
            <w:r>
              <w:rPr>
                <w:rFonts w:ascii="Times New Roman" w:cs="Times New Roman" w:eastAsia="Times New Roman" w:hAnsi="Times New Roman"/>
                <w:sz w:val="20"/>
                <w:szCs w:val="20"/>
                <w:color w:val="auto"/>
              </w:rPr>
              <w:t>WD Productions LLC</w:t>
            </w:r>
          </w:p>
        </w:tc>
        <w:tc>
          <w:tcPr>
            <w:tcW w:w="4140" w:type="dxa"/>
            <w:vAlign w:val="bottom"/>
          </w:tcPr>
          <w:p>
            <w:pPr>
              <w:jc w:val="center"/>
              <w:ind w:left="2501"/>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282"/>
        </w:trPr>
        <w:tc>
          <w:tcPr>
            <w:tcW w:w="5920" w:type="dxa"/>
            <w:vAlign w:val="bottom"/>
          </w:tcPr>
          <w:p>
            <w:pPr>
              <w:spacing w:after="0"/>
              <w:rPr>
                <w:sz w:val="20"/>
                <w:szCs w:val="20"/>
                <w:color w:val="auto"/>
              </w:rPr>
            </w:pPr>
            <w:r>
              <w:rPr>
                <w:rFonts w:ascii="Times New Roman" w:cs="Times New Roman" w:eastAsia="Times New Roman" w:hAnsi="Times New Roman"/>
                <w:sz w:val="20"/>
                <w:szCs w:val="20"/>
                <w:color w:val="auto"/>
              </w:rPr>
              <w:t>We are Mop! Limited</w:t>
            </w:r>
          </w:p>
        </w:tc>
        <w:tc>
          <w:tcPr>
            <w:tcW w:w="4140" w:type="dxa"/>
            <w:vAlign w:val="bottom"/>
          </w:tcPr>
          <w:p>
            <w:pPr>
              <w:jc w:val="center"/>
              <w:ind w:left="2501"/>
              <w:spacing w:after="0"/>
              <w:rPr>
                <w:sz w:val="20"/>
                <w:szCs w:val="20"/>
                <w:color w:val="auto"/>
              </w:rPr>
            </w:pPr>
            <w:r>
              <w:rPr>
                <w:rFonts w:ascii="Times New Roman" w:cs="Times New Roman" w:eastAsia="Times New Roman" w:hAnsi="Times New Roman"/>
                <w:sz w:val="20"/>
                <w:szCs w:val="20"/>
                <w:color w:val="auto"/>
                <w:w w:val="98"/>
              </w:rPr>
              <w:t>England and Wales</w:t>
            </w:r>
          </w:p>
        </w:tc>
      </w:tr>
      <w:tr>
        <w:trPr>
          <w:trHeight w:val="258"/>
        </w:trPr>
        <w:tc>
          <w:tcPr>
            <w:tcW w:w="5920" w:type="dxa"/>
            <w:vAlign w:val="bottom"/>
          </w:tcPr>
          <w:p>
            <w:pPr>
              <w:spacing w:after="0"/>
              <w:rPr>
                <w:sz w:val="20"/>
                <w:szCs w:val="20"/>
                <w:color w:val="auto"/>
              </w:rPr>
            </w:pPr>
            <w:r>
              <w:rPr>
                <w:rFonts w:ascii="Times New Roman" w:cs="Times New Roman" w:eastAsia="Times New Roman" w:hAnsi="Times New Roman"/>
                <w:sz w:val="20"/>
                <w:szCs w:val="20"/>
                <w:color w:val="auto"/>
              </w:rPr>
              <w:t>Werkspot BV</w:t>
            </w:r>
          </w:p>
        </w:tc>
        <w:tc>
          <w:tcPr>
            <w:tcW w:w="4140" w:type="dxa"/>
            <w:vAlign w:val="bottom"/>
          </w:tcPr>
          <w:p>
            <w:pPr>
              <w:jc w:val="center"/>
              <w:ind w:left="2501"/>
              <w:spacing w:after="0"/>
              <w:rPr>
                <w:sz w:val="20"/>
                <w:szCs w:val="20"/>
                <w:color w:val="auto"/>
              </w:rPr>
            </w:pPr>
            <w:r>
              <w:rPr>
                <w:rFonts w:ascii="Times New Roman" w:cs="Times New Roman" w:eastAsia="Times New Roman" w:hAnsi="Times New Roman"/>
                <w:sz w:val="20"/>
                <w:szCs w:val="20"/>
                <w:color w:val="auto"/>
                <w:w w:val="97"/>
              </w:rPr>
              <w:t>Netherlands</w:t>
            </w:r>
          </w:p>
        </w:tc>
      </w:tr>
    </w:tbl>
    <w:p>
      <w:pPr>
        <w:sectPr>
          <w:pgSz w:w="11900" w:h="16838" w:orient="portrait"/>
          <w:cols w:equalWidth="0" w:num="1">
            <w:col w:w="10860"/>
          </w:cols>
          <w:pgMar w:left="340" w:top="117" w:right="699" w:bottom="1440" w:gutter="0" w:footer="0" w:header="0"/>
        </w:sectPr>
      </w:pPr>
    </w:p>
    <w:bookmarkStart w:id="195" w:name="page196"/>
    <w:bookmarkEnd w:id="195"/>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336" w:lineRule="exact"/>
        <w:rPr>
          <w:sz w:val="20"/>
          <w:szCs w:val="20"/>
          <w:color w:val="auto"/>
        </w:rPr>
      </w:pPr>
    </w:p>
    <w:p>
      <w:pPr>
        <w:ind w:right="3320" w:firstLine="3318"/>
        <w:spacing w:after="0" w:line="417" w:lineRule="auto"/>
        <w:rPr>
          <w:sz w:val="20"/>
          <w:szCs w:val="20"/>
          <w:color w:val="auto"/>
        </w:rPr>
      </w:pPr>
      <w:r>
        <w:rPr>
          <w:rFonts w:ascii="Times New Roman" w:cs="Times New Roman" w:eastAsia="Times New Roman" w:hAnsi="Times New Roman"/>
          <w:sz w:val="18"/>
          <w:szCs w:val="18"/>
          <w:b w:val="1"/>
          <w:bCs w:val="1"/>
          <w:color w:val="auto"/>
        </w:rPr>
        <w:t xml:space="preserve">Consent of Independent Registered Public Accounting Firm </w:t>
      </w:r>
      <w:r>
        <w:rPr>
          <w:rFonts w:ascii="Times New Roman" w:cs="Times New Roman" w:eastAsia="Times New Roman" w:hAnsi="Times New Roman"/>
          <w:sz w:val="18"/>
          <w:szCs w:val="18"/>
          <w:color w:val="auto"/>
        </w:rPr>
        <w:t>We consent to the incorporation by reference in the following Registration Statements:</w:t>
      </w:r>
    </w:p>
    <w:p>
      <w:pPr>
        <w:ind w:left="660" w:right="120" w:hanging="247"/>
        <w:spacing w:after="0" w:line="261" w:lineRule="auto"/>
        <w:tabs>
          <w:tab w:leader="none" w:pos="672"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(Post-Effective Amendment No.1 on Form S-8 to Registration Statement on Form S-4 No. 333-251656) pertaining to IAC/InterActiveCorp’s 2018 Stock and Annual Incentive Plan, 2013 Stock and Annual Incentive Plan, 2008 Stock and Annual Incentive Plan, 2005 Stock and Annual Incentive Plan, Retirement Savings Plan, 2011 Deferred Compensation Plan for Non-Employee Directors, 2007 Deferred Compensation Plan for Non-Employee Directors and 2000 Fee Deferral Plan for Non-Employee Directors; and</w:t>
      </w:r>
    </w:p>
    <w:p>
      <w:pPr>
        <w:spacing w:after="0" w:line="206" w:lineRule="exact"/>
        <w:rPr>
          <w:rFonts w:ascii="Times New Roman" w:cs="Times New Roman" w:eastAsia="Times New Roman" w:hAnsi="Times New Roman"/>
          <w:sz w:val="18"/>
          <w:szCs w:val="18"/>
          <w:color w:val="auto"/>
        </w:rPr>
      </w:pPr>
    </w:p>
    <w:p>
      <w:pPr>
        <w:ind w:left="660" w:right="400" w:hanging="247"/>
        <w:spacing w:after="0" w:line="282" w:lineRule="auto"/>
        <w:tabs>
          <w:tab w:leader="none" w:pos="672"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(Post-Effective Amendment No. 1 on Form S-3 to Registration Statement on Form S-1 No. 333-239204) pertaining to IAC/InterActiveCorp’s 2018 Stock and Annual Incentive Plan and 2013 Stock and Annual Incentive Plan</w:t>
      </w:r>
    </w:p>
    <w:p>
      <w:pPr>
        <w:spacing w:after="0" w:line="337"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of our reports dated February 28, 2025, with respect to the consolidated financial statements and financial statement schedule of IAC Inc. and subsidiaries, and the effectiveness of internal control over financial reporting of IAC Inc. and subsidiaries, included in this Annual Report (Form 10-K) of IAC Inc. and subsidiaries for the year ended December 31, 2024.</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2025</w:t>
      </w:r>
    </w:p>
    <w:p>
      <w:pPr>
        <w:sectPr>
          <w:pgSz w:w="11900" w:h="16838" w:orient="portrait"/>
          <w:cols w:equalWidth="0" w:num="1">
            <w:col w:w="11240"/>
          </w:cols>
          <w:pgMar w:left="320" w:top="1278" w:right="339" w:bottom="1440" w:gutter="0" w:footer="0" w:header="0"/>
        </w:sectPr>
      </w:pPr>
    </w:p>
    <w:bookmarkStart w:id="196" w:name="page197"/>
    <w:bookmarkEnd w:id="196"/>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consent to the incorporation by reference in: (i) Registration Statement No. 333-239204 (Post-Effective Amendment No. 1 on Form S-3 to Registration Statement on Form S-1) and (ii) Registration Statement No. 333-251656 (Post-Effective Amendment No. 1 on Form S-8 to Registration Statement on Form S-4) of our reports dated February 18, 2025, relating to the financial statements of MGM Resorts International and subsidiaries (“MGM Resorts International”) and the effectiveness of the MGM Resorts International's internal control over financial reporting appearing in MGM Resorts International’s Form 10-K for the year ended December 31, 2024 and incorporated by reference in this Annual Report on Form 10-K of IAC Inc. for the year ended December 31, 2024.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 Vegas, Nevada</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2025</w:t>
      </w:r>
    </w:p>
    <w:p>
      <w:pPr>
        <w:sectPr>
          <w:pgSz w:w="11900" w:h="16838" w:orient="portrait"/>
          <w:cols w:equalWidth="0" w:num="1">
            <w:col w:w="11240"/>
          </w:cols>
          <w:pgMar w:left="320" w:top="1413" w:right="339" w:bottom="1440" w:gutter="0" w:footer="0" w:header="0"/>
        </w:sectPr>
      </w:pPr>
    </w:p>
    <w:bookmarkStart w:id="197" w:name="page198"/>
    <w:bookmarkEnd w:id="19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0" w:lineRule="exact"/>
        <w:rPr>
          <w:sz w:val="20"/>
          <w:szCs w:val="20"/>
          <w:color w:val="auto"/>
        </w:rPr>
      </w:pPr>
    </w:p>
    <w:p>
      <w:pPr>
        <w:spacing w:after="0" w:line="2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 Barry Diller, certify that:</w:t>
      </w:r>
    </w:p>
    <w:p>
      <w:pPr>
        <w:spacing w:after="0" w:line="117" w:lineRule="exact"/>
        <w:rPr>
          <w:sz w:val="20"/>
          <w:szCs w:val="20"/>
          <w:color w:val="auto"/>
        </w:rPr>
      </w:pPr>
    </w:p>
    <w:p>
      <w:pPr>
        <w:ind w:left="660" w:hanging="652"/>
        <w:spacing w:after="0"/>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10-K for the fiscal year ended December 31, 2024 of IAC Inc.;</w:t>
      </w:r>
    </w:p>
    <w:p>
      <w:pPr>
        <w:spacing w:after="0" w:line="117"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1"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88"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1" w:val="left"/>
        </w:tabs>
        <w:numPr>
          <w:ilvl w:val="1"/>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60" w:hanging="644"/>
        <w:spacing w:after="0" w:line="266" w:lineRule="auto"/>
        <w:tabs>
          <w:tab w:leader="none" w:pos="1288"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100" w:hanging="652"/>
        <w:spacing w:after="0" w:line="282" w:lineRule="auto"/>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1"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80" w:hanging="644"/>
        <w:spacing w:after="0" w:line="282" w:lineRule="auto"/>
        <w:tabs>
          <w:tab w:leader="none" w:pos="1288"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5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Dated:    February 28, 2025</w:t>
            </w:r>
          </w:p>
        </w:tc>
        <w:tc>
          <w:tcPr>
            <w:tcW w:w="3460" w:type="dxa"/>
            <w:vAlign w:val="bottom"/>
          </w:tcPr>
          <w:p>
            <w:pPr>
              <w:spacing w:after="0"/>
              <w:rPr>
                <w:sz w:val="19"/>
                <w:szCs w:val="19"/>
                <w:color w:val="auto"/>
              </w:rPr>
            </w:pPr>
          </w:p>
        </w:tc>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BARRY DILLER</w:t>
            </w:r>
          </w:p>
        </w:tc>
      </w:tr>
      <w:tr>
        <w:trPr>
          <w:trHeight w:val="169"/>
        </w:trPr>
        <w:tc>
          <w:tcPr>
            <w:tcW w:w="25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508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Barry Diller</w:t>
            </w:r>
          </w:p>
        </w:tc>
      </w:tr>
      <w:tr>
        <w:trPr>
          <w:trHeight w:val="236"/>
        </w:trPr>
        <w:tc>
          <w:tcPr>
            <w:tcW w:w="256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Chairman and Senior Executive</w:t>
            </w:r>
          </w:p>
        </w:tc>
      </w:tr>
    </w:tbl>
    <w:p>
      <w:pPr>
        <w:sectPr>
          <w:pgSz w:w="11900" w:h="16838" w:orient="portrait"/>
          <w:cols w:equalWidth="0" w:num="1">
            <w:col w:w="11240"/>
          </w:cols>
          <w:pgMar w:left="320" w:top="995" w:right="339" w:bottom="1440" w:gutter="0" w:footer="0" w:header="0"/>
        </w:sectPr>
      </w:pPr>
    </w:p>
    <w:bookmarkStart w:id="198" w:name="page199"/>
    <w:bookmarkEnd w:id="19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0" w:lineRule="exact"/>
        <w:rPr>
          <w:sz w:val="20"/>
          <w:szCs w:val="20"/>
          <w:color w:val="auto"/>
        </w:rPr>
      </w:pPr>
    </w:p>
    <w:p>
      <w:pPr>
        <w:spacing w:after="0" w:line="3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 Joseph Levin, certify that:</w:t>
      </w:r>
    </w:p>
    <w:p>
      <w:pPr>
        <w:spacing w:after="0" w:line="158" w:lineRule="exact"/>
        <w:rPr>
          <w:sz w:val="20"/>
          <w:szCs w:val="20"/>
          <w:color w:val="auto"/>
        </w:rPr>
      </w:pPr>
    </w:p>
    <w:p>
      <w:pPr>
        <w:ind w:left="660" w:hanging="652"/>
        <w:spacing w:after="0"/>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10-K for the fiscal year ended December 31, 2024 of IAC Inc.;</w:t>
      </w:r>
    </w:p>
    <w:p>
      <w:pPr>
        <w:spacing w:after="0" w:line="117"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1"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1300" w:right="40" w:hanging="644"/>
        <w:spacing w:after="0" w:line="250" w:lineRule="auto"/>
        <w:tabs>
          <w:tab w:leader="none" w:pos="1288"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2"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1" w:val="left"/>
        </w:tabs>
        <w:numPr>
          <w:ilvl w:val="1"/>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60" w:hanging="644"/>
        <w:spacing w:after="0" w:line="266" w:lineRule="auto"/>
        <w:tabs>
          <w:tab w:leader="none" w:pos="1288"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100" w:hanging="652"/>
        <w:spacing w:after="0" w:line="282" w:lineRule="auto"/>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1"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80" w:hanging="644"/>
        <w:spacing w:after="0" w:line="282" w:lineRule="auto"/>
        <w:tabs>
          <w:tab w:leader="none" w:pos="1288"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6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Dated:    February 28, 2025</w:t>
            </w:r>
          </w:p>
        </w:tc>
        <w:tc>
          <w:tcPr>
            <w:tcW w:w="3460" w:type="dxa"/>
            <w:vAlign w:val="bottom"/>
          </w:tcPr>
          <w:p>
            <w:pPr>
              <w:spacing w:after="0"/>
              <w:rPr>
                <w:sz w:val="19"/>
                <w:szCs w:val="19"/>
                <w:color w:val="auto"/>
              </w:rPr>
            </w:pPr>
          </w:p>
        </w:tc>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JOSEPH LEVIN</w:t>
            </w:r>
          </w:p>
        </w:tc>
      </w:tr>
      <w:tr>
        <w:trPr>
          <w:trHeight w:val="169"/>
        </w:trPr>
        <w:tc>
          <w:tcPr>
            <w:tcW w:w="264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508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Joseph Levin</w:t>
            </w:r>
          </w:p>
        </w:tc>
      </w:tr>
      <w:tr>
        <w:trPr>
          <w:trHeight w:val="236"/>
        </w:trPr>
        <w:tc>
          <w:tcPr>
            <w:tcW w:w="264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r>
    </w:tbl>
    <w:p>
      <w:pPr>
        <w:sectPr>
          <w:pgSz w:w="11900" w:h="16838" w:orient="portrait"/>
          <w:cols w:equalWidth="0" w:num="1">
            <w:col w:w="11240"/>
          </w:cols>
          <w:pgMar w:left="320" w:top="1035" w:right="339" w:bottom="1440" w:gutter="0" w:footer="0" w:header="0"/>
        </w:sectPr>
      </w:pPr>
    </w:p>
    <w:bookmarkStart w:id="199" w:name="page200"/>
    <w:bookmarkEnd w:id="199"/>
    <w:p>
      <w:pPr>
        <w:jc w:val="right"/>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0" w:lineRule="exact"/>
        <w:rPr>
          <w:sz w:val="20"/>
          <w:szCs w:val="20"/>
          <w:color w:val="auto"/>
        </w:rPr>
      </w:pPr>
    </w:p>
    <w:p>
      <w:pPr>
        <w:spacing w:after="0" w:line="25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 Christopher Halpin, certify that:</w:t>
      </w:r>
    </w:p>
    <w:p>
      <w:pPr>
        <w:spacing w:after="0" w:line="117" w:lineRule="exact"/>
        <w:rPr>
          <w:sz w:val="20"/>
          <w:szCs w:val="20"/>
          <w:color w:val="auto"/>
        </w:rPr>
      </w:pPr>
    </w:p>
    <w:p>
      <w:pPr>
        <w:ind w:left="360" w:hanging="352"/>
        <w:spacing w:after="0"/>
        <w:tabs>
          <w:tab w:leader="none" w:pos="3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10-K for the fiscal year ended December 31, 2024 of IAC Inc.;</w:t>
      </w:r>
    </w:p>
    <w:p>
      <w:pPr>
        <w:spacing w:after="0" w:line="117" w:lineRule="exact"/>
        <w:rPr>
          <w:rFonts w:ascii="Times New Roman" w:cs="Times New Roman" w:eastAsia="Times New Roman" w:hAnsi="Times New Roman"/>
          <w:sz w:val="18"/>
          <w:szCs w:val="18"/>
          <w:color w:val="auto"/>
        </w:rPr>
      </w:pPr>
    </w:p>
    <w:p>
      <w:pPr>
        <w:ind w:left="660" w:right="140" w:hanging="652"/>
        <w:spacing w:after="0" w:line="266" w:lineRule="auto"/>
        <w:tabs>
          <w:tab w:leader="none" w:pos="372"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420" w:hanging="652"/>
        <w:spacing w:after="0" w:line="282" w:lineRule="auto"/>
        <w:tabs>
          <w:tab w:leader="none" w:pos="327"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369"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60" w:hanging="644"/>
        <w:spacing w:after="0" w:line="266" w:lineRule="auto"/>
        <w:tabs>
          <w:tab w:leader="none" w:pos="972"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982"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right="220" w:hanging="644"/>
        <w:spacing w:after="0" w:line="312" w:lineRule="auto"/>
        <w:tabs>
          <w:tab w:leader="none" w:pos="972" w:val="left"/>
        </w:tabs>
        <w:numPr>
          <w:ilvl w:val="1"/>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20" w:hanging="644"/>
        <w:spacing w:after="0" w:line="266" w:lineRule="auto"/>
        <w:tabs>
          <w:tab w:leader="none" w:pos="847"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120" w:hanging="652"/>
        <w:spacing w:after="0" w:line="282" w:lineRule="auto"/>
        <w:tabs>
          <w:tab w:leader="none" w:pos="369"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80" w:right="740" w:hanging="324"/>
        <w:spacing w:after="0" w:line="282" w:lineRule="auto"/>
        <w:tabs>
          <w:tab w:leader="none" w:pos="1011"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 w:lineRule="exact"/>
        <w:rPr>
          <w:rFonts w:ascii="Times New Roman" w:cs="Times New Roman" w:eastAsia="Times New Roman" w:hAnsi="Times New Roman"/>
          <w:sz w:val="18"/>
          <w:szCs w:val="18"/>
          <w:color w:val="auto"/>
        </w:rPr>
      </w:pPr>
    </w:p>
    <w:p>
      <w:pPr>
        <w:ind w:left="660" w:right="440" w:hanging="4"/>
        <w:spacing w:after="0" w:line="282" w:lineRule="auto"/>
        <w:tabs>
          <w:tab w:leader="none" w:pos="1025"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8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6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Dated:    February 28, 2025</w:t>
            </w:r>
          </w:p>
        </w:tc>
        <w:tc>
          <w:tcPr>
            <w:tcW w:w="3500" w:type="dxa"/>
            <w:vAlign w:val="bottom"/>
          </w:tcPr>
          <w:p>
            <w:pPr>
              <w:spacing w:after="0"/>
              <w:rPr>
                <w:sz w:val="19"/>
                <w:szCs w:val="19"/>
                <w:color w:val="auto"/>
              </w:rPr>
            </w:pP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CHRISTOPHER HALPIN</w:t>
            </w:r>
          </w:p>
        </w:tc>
      </w:tr>
      <w:tr>
        <w:trPr>
          <w:trHeight w:val="169"/>
        </w:trPr>
        <w:tc>
          <w:tcPr>
            <w:tcW w:w="264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508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Christopher Halpin</w:t>
            </w:r>
          </w:p>
        </w:tc>
      </w:tr>
      <w:tr>
        <w:trPr>
          <w:trHeight w:val="175"/>
        </w:trPr>
        <w:tc>
          <w:tcPr>
            <w:tcW w:w="264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5080" w:type="dxa"/>
            <w:vAlign w:val="bottom"/>
          </w:tcPr>
          <w:p>
            <w:pPr>
              <w:spacing w:after="0" w:line="176" w:lineRule="exact"/>
              <w:rPr>
                <w:sz w:val="20"/>
                <w:szCs w:val="20"/>
                <w:color w:val="auto"/>
              </w:rPr>
            </w:pPr>
            <w:r>
              <w:rPr>
                <w:rFonts w:ascii="Times New Roman" w:cs="Times New Roman" w:eastAsia="Times New Roman" w:hAnsi="Times New Roman"/>
                <w:sz w:val="18"/>
                <w:szCs w:val="18"/>
                <w:i w:val="1"/>
                <w:iCs w:val="1"/>
                <w:color w:val="auto"/>
              </w:rPr>
              <w:t>Executive Vice President, Chief Financial Officer and Chief</w:t>
            </w:r>
          </w:p>
        </w:tc>
      </w:tr>
      <w:tr>
        <w:trPr>
          <w:trHeight w:val="236"/>
        </w:trPr>
        <w:tc>
          <w:tcPr>
            <w:tcW w:w="264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Operating Officer</w:t>
            </w:r>
          </w:p>
        </w:tc>
      </w:tr>
    </w:tbl>
    <w:p>
      <w:pPr>
        <w:sectPr>
          <w:pgSz w:w="11900" w:h="16838" w:orient="portrait"/>
          <w:cols w:equalWidth="0" w:num="1">
            <w:col w:w="11240"/>
          </w:cols>
          <w:pgMar w:left="320" w:top="1035" w:right="339" w:bottom="1440" w:gutter="0" w:footer="0" w:header="0"/>
        </w:sectPr>
      </w:pPr>
    </w:p>
    <w:bookmarkStart w:id="200" w:name="page201"/>
    <w:bookmarkEnd w:id="20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3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 Barry Diller, certify, pursuant to Section 906 of the Sarbanes-Oxley Act of 2002, 18 U.S.C. Section 1350, that, to my knowledge:</w:t>
      </w:r>
    </w:p>
    <w:p>
      <w:pPr>
        <w:spacing w:after="0" w:line="158" w:lineRule="exact"/>
        <w:rPr>
          <w:sz w:val="20"/>
          <w:szCs w:val="20"/>
          <w:color w:val="auto"/>
        </w:rPr>
      </w:pPr>
    </w:p>
    <w:p>
      <w:pPr>
        <w:ind w:left="660" w:right="120" w:hanging="652"/>
        <w:spacing w:after="0" w:line="282" w:lineRule="auto"/>
        <w:tabs>
          <w:tab w:leader="none" w:pos="654"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for the fiscal year ended December 31, 2024 of IAC Inc. (the "Report") which this statement accompanies fully complies with the requirements of Section 13(a) or 15(d) of the Securities Exchange Act of 1934 (15 U.S.C. 78m or 78o(d)); and</w:t>
      </w:r>
    </w:p>
    <w:p>
      <w:pPr>
        <w:spacing w:after="0" w:line="188"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IAC Inc.</w:t>
      </w:r>
    </w:p>
    <w:p>
      <w:pPr>
        <w:spacing w:after="0" w:line="378"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26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Dated:    February 28, 2025</w:t>
            </w:r>
          </w:p>
        </w:tc>
        <w:tc>
          <w:tcPr>
            <w:tcW w:w="3460" w:type="dxa"/>
            <w:vAlign w:val="bottom"/>
          </w:tcPr>
          <w:p>
            <w:pPr>
              <w:spacing w:after="0"/>
              <w:rPr>
                <w:sz w:val="19"/>
                <w:szCs w:val="19"/>
                <w:color w:val="auto"/>
              </w:rPr>
            </w:pPr>
          </w:p>
        </w:tc>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BARRY DILLER</w:t>
            </w:r>
          </w:p>
        </w:tc>
      </w:tr>
      <w:tr>
        <w:trPr>
          <w:trHeight w:val="176"/>
        </w:trPr>
        <w:tc>
          <w:tcPr>
            <w:tcW w:w="264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50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Barry Diller</w:t>
            </w:r>
          </w:p>
        </w:tc>
      </w:tr>
      <w:tr>
        <w:trPr>
          <w:trHeight w:val="236"/>
        </w:trPr>
        <w:tc>
          <w:tcPr>
            <w:tcW w:w="264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Chairman and Senior Executive</w:t>
            </w:r>
          </w:p>
        </w:tc>
      </w:tr>
    </w:tbl>
    <w:p>
      <w:pPr>
        <w:sectPr>
          <w:pgSz w:w="11900" w:h="16838" w:orient="portrait"/>
          <w:cols w:equalWidth="0" w:num="1">
            <w:col w:w="11240"/>
          </w:cols>
          <w:pgMar w:left="320" w:top="1035" w:right="339" w:bottom="1440" w:gutter="0" w:footer="0" w:header="0"/>
        </w:sectPr>
      </w:pPr>
    </w:p>
    <w:bookmarkStart w:id="201" w:name="page202"/>
    <w:bookmarkEnd w:id="20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3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 Joseph Levin, certify, pursuant to Section 906 of the Sarbanes-Oxley Act of 2002, 18 U.S.C. Section 1350, that, to my knowledge:</w:t>
      </w:r>
    </w:p>
    <w:p>
      <w:pPr>
        <w:spacing w:after="0" w:line="144" w:lineRule="exact"/>
        <w:rPr>
          <w:sz w:val="20"/>
          <w:szCs w:val="20"/>
          <w:color w:val="auto"/>
        </w:rPr>
      </w:pPr>
    </w:p>
    <w:p>
      <w:pPr>
        <w:ind w:left="660" w:right="120" w:hanging="652"/>
        <w:spacing w:after="0" w:line="282" w:lineRule="auto"/>
        <w:tabs>
          <w:tab w:leader="none" w:pos="654"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for the fiscal year ended December 31, 2024 of IAC Inc. (the "Report") which this statement accompanies fully complies with the requirements of Section 13(a) or 15(d) of the Securities Exchange Act of 1934 (15 U.S.C. 78m or 78o(d)); and</w:t>
      </w:r>
    </w:p>
    <w:p>
      <w:pPr>
        <w:spacing w:after="0" w:line="188"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IAC Inc.</w:t>
      </w:r>
    </w:p>
    <w:p>
      <w:pPr>
        <w:spacing w:after="0" w:line="39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6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Dated:    February 28, 2025</w:t>
            </w:r>
          </w:p>
        </w:tc>
        <w:tc>
          <w:tcPr>
            <w:tcW w:w="3460" w:type="dxa"/>
            <w:vAlign w:val="bottom"/>
          </w:tcPr>
          <w:p>
            <w:pPr>
              <w:spacing w:after="0"/>
              <w:rPr>
                <w:sz w:val="19"/>
                <w:szCs w:val="19"/>
                <w:color w:val="auto"/>
              </w:rPr>
            </w:pPr>
          </w:p>
        </w:tc>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JOSEPH LEVIN</w:t>
            </w:r>
          </w:p>
        </w:tc>
      </w:tr>
      <w:tr>
        <w:trPr>
          <w:trHeight w:val="169"/>
        </w:trPr>
        <w:tc>
          <w:tcPr>
            <w:tcW w:w="264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508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Joseph Levin</w:t>
            </w:r>
          </w:p>
        </w:tc>
      </w:tr>
      <w:tr>
        <w:trPr>
          <w:trHeight w:val="236"/>
        </w:trPr>
        <w:tc>
          <w:tcPr>
            <w:tcW w:w="264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r>
    </w:tbl>
    <w:p>
      <w:pPr>
        <w:sectPr>
          <w:pgSz w:w="11900" w:h="16838" w:orient="portrait"/>
          <w:cols w:equalWidth="0" w:num="1">
            <w:col w:w="11240"/>
          </w:cols>
          <w:pgMar w:left="320" w:top="1035" w:right="339" w:bottom="1440" w:gutter="0" w:footer="0" w:header="0"/>
        </w:sectPr>
      </w:pPr>
    </w:p>
    <w:bookmarkStart w:id="202" w:name="page203"/>
    <w:bookmarkEnd w:id="202"/>
    <w:p>
      <w:pPr>
        <w:jc w:val="right"/>
        <w:spacing w:after="0"/>
        <w:rPr>
          <w:sz w:val="20"/>
          <w:szCs w:val="20"/>
          <w:color w:val="auto"/>
        </w:rPr>
      </w:pPr>
      <w:r>
        <w:rPr>
          <w:rFonts w:ascii="Times New Roman" w:cs="Times New Roman" w:eastAsia="Times New Roman" w:hAnsi="Times New Roman"/>
          <w:sz w:val="18"/>
          <w:szCs w:val="18"/>
          <w:b w:val="1"/>
          <w:bCs w:val="1"/>
          <w:color w:val="auto"/>
        </w:rPr>
        <w:t>Exhibit 32.3</w:t>
      </w:r>
    </w:p>
    <w:p>
      <w:pPr>
        <w:spacing w:after="0" w:line="200" w:lineRule="exact"/>
        <w:rPr>
          <w:sz w:val="20"/>
          <w:szCs w:val="20"/>
          <w:color w:val="auto"/>
        </w:rPr>
      </w:pPr>
    </w:p>
    <w:p>
      <w:pPr>
        <w:spacing w:after="0" w:line="22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 Christopher Halpin, certify, pursuant to Section 906 of the Sarbanes-Oxley Act of 2002, 18 U.S.C. Section 1350, that, to my knowledge:</w:t>
      </w:r>
    </w:p>
    <w:p>
      <w:pPr>
        <w:spacing w:after="0" w:line="131" w:lineRule="exact"/>
        <w:rPr>
          <w:sz w:val="20"/>
          <w:szCs w:val="20"/>
          <w:color w:val="auto"/>
        </w:rPr>
      </w:pPr>
    </w:p>
    <w:p>
      <w:pPr>
        <w:ind w:left="660" w:right="280" w:hanging="652"/>
        <w:spacing w:after="0" w:line="282" w:lineRule="auto"/>
        <w:tabs>
          <w:tab w:leader="none" w:pos="492"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for the fiscal year ended December 31, 2024 of IAC Inc. (the "Report") which this statement accompanies fully complies with the requirements of Section 13(a) or 15(d) of the Securities Exchange Act of 1934 (15 U.S.C. 78m or 78o(d)); and</w:t>
      </w:r>
    </w:p>
    <w:p>
      <w:pPr>
        <w:spacing w:after="0" w:line="229"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IAC Inc.</w:t>
      </w:r>
    </w:p>
    <w:p>
      <w:pPr>
        <w:spacing w:after="0" w:line="39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6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Dated:    February 28, 2025</w:t>
            </w:r>
          </w:p>
        </w:tc>
        <w:tc>
          <w:tcPr>
            <w:tcW w:w="3500" w:type="dxa"/>
            <w:vAlign w:val="bottom"/>
          </w:tcPr>
          <w:p>
            <w:pPr>
              <w:spacing w:after="0"/>
              <w:rPr>
                <w:sz w:val="19"/>
                <w:szCs w:val="19"/>
                <w:color w:val="auto"/>
              </w:rPr>
            </w:pP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CHRISTOPHER HALPIN</w:t>
            </w:r>
          </w:p>
        </w:tc>
      </w:tr>
      <w:tr>
        <w:trPr>
          <w:trHeight w:val="176"/>
        </w:trPr>
        <w:tc>
          <w:tcPr>
            <w:tcW w:w="264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50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Christopher Halpin</w:t>
            </w:r>
          </w:p>
        </w:tc>
      </w:tr>
      <w:tr>
        <w:trPr>
          <w:trHeight w:val="182"/>
        </w:trPr>
        <w:tc>
          <w:tcPr>
            <w:tcW w:w="264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5080" w:type="dxa"/>
            <w:vAlign w:val="bottom"/>
          </w:tcPr>
          <w:p>
            <w:pPr>
              <w:spacing w:after="0" w:line="182" w:lineRule="exact"/>
              <w:rPr>
                <w:sz w:val="20"/>
                <w:szCs w:val="20"/>
                <w:color w:val="auto"/>
              </w:rPr>
            </w:pPr>
            <w:r>
              <w:rPr>
                <w:rFonts w:ascii="Times New Roman" w:cs="Times New Roman" w:eastAsia="Times New Roman" w:hAnsi="Times New Roman"/>
                <w:sz w:val="18"/>
                <w:szCs w:val="18"/>
                <w:i w:val="1"/>
                <w:iCs w:val="1"/>
                <w:color w:val="auto"/>
              </w:rPr>
              <w:t>Executive Vice President, Chief Financial Officer and Chief</w:t>
            </w:r>
          </w:p>
        </w:tc>
      </w:tr>
      <w:tr>
        <w:trPr>
          <w:trHeight w:val="236"/>
        </w:trPr>
        <w:tc>
          <w:tcPr>
            <w:tcW w:w="264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Operating Officer</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0C6A529"/>
    <w:multiLevelType w:val="hybridMultilevel"/>
    <w:lvl w:ilvl="0">
      <w:lvlJc w:val="left"/>
      <w:lvlText w:val="•"/>
      <w:numFmt w:val="bullet"/>
      <w:start w:val="1"/>
    </w:lvl>
  </w:abstractNum>
  <w:abstractNum w:abstractNumId="1">
    <w:nsid w:val="520EEDD1"/>
    <w:multiLevelType w:val="hybridMultilevel"/>
    <w:lvl w:ilvl="0">
      <w:lvlJc w:val="left"/>
      <w:lvlText w:val="•"/>
      <w:numFmt w:val="bullet"/>
      <w:start w:val="1"/>
    </w:lvl>
    <w:lvl w:ilvl="1">
      <w:lvlJc w:val="left"/>
      <w:lvlText w:val="•"/>
      <w:numFmt w:val="bullet"/>
      <w:start w:val="1"/>
    </w:lvl>
  </w:abstractNum>
  <w:abstractNum w:abstractNumId="2">
    <w:nsid w:val="374A3FE6"/>
    <w:multiLevelType w:val="hybridMultilevel"/>
    <w:lvl w:ilvl="0">
      <w:lvlJc w:val="left"/>
      <w:lvlText w:val="•"/>
      <w:numFmt w:val="bullet"/>
      <w:start w:val="1"/>
    </w:lvl>
  </w:abstractNum>
  <w:abstractNum w:abstractNumId="3">
    <w:nsid w:val="4F4EF005"/>
    <w:multiLevelType w:val="hybridMultilevel"/>
    <w:lvl w:ilvl="0">
      <w:lvlJc w:val="left"/>
      <w:lvlText w:val="•"/>
      <w:numFmt w:val="bullet"/>
      <w:start w:val="1"/>
    </w:lvl>
  </w:abstractNum>
  <w:abstractNum w:abstractNumId="4">
    <w:nsid w:val="23F9C13C"/>
    <w:multiLevelType w:val="hybridMultilevel"/>
    <w:lvl w:ilvl="0">
      <w:lvlJc w:val="left"/>
      <w:lvlText w:val="•"/>
      <w:numFmt w:val="bullet"/>
      <w:start w:val="1"/>
    </w:lvl>
  </w:abstractNum>
  <w:abstractNum w:abstractNumId="5">
    <w:nsid w:val="649BB77C"/>
    <w:multiLevelType w:val="hybridMultilevel"/>
    <w:lvl w:ilvl="0">
      <w:lvlJc w:val="left"/>
      <w:lvlText w:val="•"/>
      <w:numFmt w:val="bullet"/>
      <w:start w:val="1"/>
    </w:lvl>
  </w:abstractNum>
  <w:abstractNum w:abstractNumId="6">
    <w:nsid w:val="275AC794"/>
    <w:multiLevelType w:val="hybridMultilevel"/>
    <w:lvl w:ilvl="0">
      <w:lvlJc w:val="left"/>
      <w:lvlText w:val="•"/>
      <w:numFmt w:val="bullet"/>
      <w:start w:val="1"/>
    </w:lvl>
  </w:abstractNum>
  <w:abstractNum w:abstractNumId="7">
    <w:nsid w:val="39386575"/>
    <w:multiLevelType w:val="hybridMultilevel"/>
    <w:lvl w:ilvl="0">
      <w:lvlJc w:val="left"/>
      <w:lvlText w:val="•"/>
      <w:numFmt w:val="bullet"/>
      <w:start w:val="1"/>
    </w:lvl>
  </w:abstractNum>
  <w:abstractNum w:abstractNumId="8">
    <w:nsid w:val="1CF10FD8"/>
    <w:multiLevelType w:val="hybridMultilevel"/>
    <w:lvl w:ilvl="0">
      <w:lvlJc w:val="left"/>
      <w:lvlText w:val="•"/>
      <w:numFmt w:val="bullet"/>
      <w:start w:val="1"/>
    </w:lvl>
  </w:abstractNum>
  <w:abstractNum w:abstractNumId="9">
    <w:nsid w:val="180115BE"/>
    <w:multiLevelType w:val="hybridMultilevel"/>
    <w:lvl w:ilvl="0">
      <w:lvlJc w:val="left"/>
      <w:lvlText w:val="•"/>
      <w:numFmt w:val="bullet"/>
      <w:start w:val="1"/>
    </w:lvl>
  </w:abstractNum>
  <w:abstractNum w:abstractNumId="10">
    <w:nsid w:val="235BA861"/>
    <w:multiLevelType w:val="hybridMultilevel"/>
    <w:lvl w:ilvl="0">
      <w:lvlJc w:val="left"/>
      <w:lvlText w:val="•"/>
      <w:numFmt w:val="bullet"/>
      <w:start w:val="1"/>
    </w:lvl>
  </w:abstractNum>
  <w:abstractNum w:abstractNumId="11">
    <w:nsid w:val="47398C89"/>
    <w:multiLevelType w:val="hybridMultilevel"/>
    <w:lvl w:ilvl="0">
      <w:lvlJc w:val="left"/>
      <w:lvlText w:val="•"/>
      <w:numFmt w:val="bullet"/>
      <w:start w:val="1"/>
    </w:lvl>
  </w:abstractNum>
  <w:abstractNum w:abstractNumId="12">
    <w:nsid w:val="354FE9F9"/>
    <w:multiLevelType w:val="hybridMultilevel"/>
    <w:lvl w:ilvl="0">
      <w:lvlJc w:val="left"/>
      <w:lvlText w:val="•"/>
      <w:numFmt w:val="bullet"/>
      <w:start w:val="1"/>
    </w:lvl>
  </w:abstractNum>
  <w:abstractNum w:abstractNumId="13">
    <w:nsid w:val="15B5AF5C"/>
    <w:multiLevelType w:val="hybridMultilevel"/>
    <w:lvl w:ilvl="0">
      <w:lvlJc w:val="left"/>
      <w:lvlText w:val="•"/>
      <w:numFmt w:val="bullet"/>
      <w:start w:val="1"/>
    </w:lvl>
  </w:abstractNum>
  <w:abstractNum w:abstractNumId="14">
    <w:nsid w:val="741226BB"/>
    <w:multiLevelType w:val="hybridMultilevel"/>
    <w:lvl w:ilvl="0">
      <w:lvlJc w:val="left"/>
      <w:lvlText w:val="•"/>
      <w:numFmt w:val="bullet"/>
      <w:start w:val="1"/>
    </w:lvl>
  </w:abstractNum>
  <w:abstractNum w:abstractNumId="15">
    <w:nsid w:val="D34B6A8"/>
    <w:multiLevelType w:val="hybridMultilevel"/>
    <w:lvl w:ilvl="0">
      <w:lvlJc w:val="left"/>
      <w:lvlText w:val="•"/>
      <w:numFmt w:val="bullet"/>
      <w:start w:val="1"/>
    </w:lvl>
  </w:abstractNum>
  <w:abstractNum w:abstractNumId="16">
    <w:nsid w:val="10233C99"/>
    <w:multiLevelType w:val="hybridMultilevel"/>
    <w:lvl w:ilvl="0">
      <w:lvlJc w:val="left"/>
      <w:lvlText w:val="(%1)"/>
      <w:numFmt w:val="lowerRoman"/>
      <w:start w:val="2"/>
    </w:lvl>
  </w:abstractNum>
  <w:abstractNum w:abstractNumId="17">
    <w:nsid w:val="3F6AB60F"/>
    <w:multiLevelType w:val="hybridMultilevel"/>
    <w:lvl w:ilvl="0">
      <w:lvlJc w:val="left"/>
      <w:lvlText w:val="•"/>
      <w:numFmt w:val="bullet"/>
      <w:start w:val="1"/>
    </w:lvl>
  </w:abstractNum>
  <w:abstractNum w:abstractNumId="18">
    <w:nsid w:val="61574095"/>
    <w:multiLevelType w:val="hybridMultilevel"/>
    <w:lvl w:ilvl="0">
      <w:lvlJc w:val="left"/>
      <w:lvlText w:val="•"/>
      <w:numFmt w:val="bullet"/>
      <w:start w:val="1"/>
    </w:lvl>
  </w:abstractNum>
  <w:abstractNum w:abstractNumId="19">
    <w:nsid w:val="7E0C57B1"/>
    <w:multiLevelType w:val="hybridMultilevel"/>
    <w:lvl w:ilvl="0">
      <w:lvlJc w:val="left"/>
      <w:lvlText w:val="•"/>
      <w:numFmt w:val="bullet"/>
      <w:start w:val="1"/>
    </w:lvl>
  </w:abstractNum>
  <w:abstractNum w:abstractNumId="20">
    <w:nsid w:val="77AE35EB"/>
    <w:multiLevelType w:val="hybridMultilevel"/>
    <w:lvl w:ilvl="0">
      <w:lvlJc w:val="left"/>
      <w:lvlText w:val="•"/>
      <w:numFmt w:val="bullet"/>
      <w:start w:val="1"/>
    </w:lvl>
    <w:lvl w:ilvl="1">
      <w:lvlJc w:val="left"/>
      <w:lvlText w:val="◦"/>
      <w:numFmt w:val="bullet"/>
      <w:start w:val="1"/>
    </w:lvl>
  </w:abstractNum>
  <w:abstractNum w:abstractNumId="21">
    <w:nsid w:val="579BE4F1"/>
    <w:multiLevelType w:val="hybridMultilevel"/>
    <w:lvl w:ilvl="0">
      <w:lvlJc w:val="left"/>
      <w:lvlText w:val="•"/>
      <w:numFmt w:val="bullet"/>
      <w:start w:val="1"/>
    </w:lvl>
  </w:abstractNum>
  <w:abstractNum w:abstractNumId="22">
    <w:nsid w:val="310C50B3"/>
    <w:multiLevelType w:val="hybridMultilevel"/>
    <w:lvl w:ilvl="0">
      <w:lvlJc w:val="left"/>
      <w:lvlText w:val="•"/>
      <w:numFmt w:val="bullet"/>
      <w:start w:val="1"/>
    </w:lvl>
    <w:lvl w:ilvl="1">
      <w:lvlJc w:val="left"/>
      <w:lvlText w:val="◦"/>
      <w:numFmt w:val="bullet"/>
      <w:start w:val="1"/>
    </w:lvl>
  </w:abstractNum>
  <w:abstractNum w:abstractNumId="23">
    <w:nsid w:val="5FF87E05"/>
    <w:multiLevelType w:val="hybridMultilevel"/>
    <w:lvl w:ilvl="0">
      <w:lvlJc w:val="left"/>
      <w:lvlText w:val="•"/>
      <w:numFmt w:val="bullet"/>
      <w:start w:val="1"/>
    </w:lvl>
  </w:abstractNum>
  <w:abstractNum w:abstractNumId="24">
    <w:nsid w:val="2F305DEF"/>
    <w:multiLevelType w:val="hybridMultilevel"/>
    <w:lvl w:ilvl="0">
      <w:lvlJc w:val="left"/>
      <w:lvlText w:val="•"/>
      <w:numFmt w:val="bullet"/>
      <w:start w:val="1"/>
    </w:lvl>
  </w:abstractNum>
  <w:abstractNum w:abstractNumId="25">
    <w:nsid w:val="25A70BF7"/>
    <w:multiLevelType w:val="hybridMultilevel"/>
    <w:lvl w:ilvl="0">
      <w:lvlJc w:val="left"/>
      <w:lvlText w:val="•"/>
      <w:numFmt w:val="bullet"/>
      <w:start w:val="1"/>
    </w:lvl>
  </w:abstractNum>
  <w:abstractNum w:abstractNumId="26">
    <w:nsid w:val="1DBABF00"/>
    <w:multiLevelType w:val="hybridMultilevel"/>
    <w:lvl w:ilvl="0">
      <w:lvlJc w:val="left"/>
      <w:lvlText w:val="•"/>
      <w:numFmt w:val="bullet"/>
      <w:start w:val="1"/>
    </w:lvl>
  </w:abstractNum>
  <w:abstractNum w:abstractNumId="27">
    <w:nsid w:val="4AD084E9"/>
    <w:multiLevelType w:val="hybridMultilevel"/>
    <w:lvl w:ilvl="0">
      <w:lvlJc w:val="left"/>
      <w:lvlText w:val="•"/>
      <w:numFmt w:val="bullet"/>
      <w:start w:val="1"/>
    </w:lvl>
  </w:abstractNum>
  <w:abstractNum w:abstractNumId="28">
    <w:nsid w:val="1F48EAA1"/>
    <w:multiLevelType w:val="hybridMultilevel"/>
    <w:lvl w:ilvl="0">
      <w:lvlJc w:val="left"/>
      <w:lvlText w:val="•"/>
      <w:numFmt w:val="bullet"/>
      <w:start w:val="1"/>
    </w:lvl>
  </w:abstractNum>
  <w:abstractNum w:abstractNumId="29">
    <w:nsid w:val="1381823A"/>
    <w:multiLevelType w:val="hybridMultilevel"/>
    <w:lvl w:ilvl="0">
      <w:lvlJc w:val="left"/>
      <w:lvlText w:val="•"/>
      <w:numFmt w:val="bullet"/>
      <w:start w:val="1"/>
    </w:lvl>
    <w:lvl w:ilvl="1">
      <w:lvlJc w:val="left"/>
      <w:lvlText w:val="◦"/>
      <w:numFmt w:val="bullet"/>
      <w:start w:val="1"/>
    </w:lvl>
  </w:abstractNum>
  <w:abstractNum w:abstractNumId="30">
    <w:nsid w:val="5DB70AE5"/>
    <w:multiLevelType w:val="hybridMultilevel"/>
    <w:lvl w:ilvl="0">
      <w:lvlJc w:val="left"/>
      <w:lvlText w:val="•"/>
      <w:numFmt w:val="bullet"/>
      <w:start w:val="1"/>
    </w:lvl>
  </w:abstractNum>
  <w:abstractNum w:abstractNumId="31">
    <w:nsid w:val="100F8FCA"/>
    <w:multiLevelType w:val="hybridMultilevel"/>
    <w:lvl w:ilvl="0">
      <w:lvlJc w:val="left"/>
      <w:lvlText w:val="•"/>
      <w:numFmt w:val="bullet"/>
      <w:start w:val="1"/>
    </w:lvl>
    <w:lvl w:ilvl="1">
      <w:lvlJc w:val="left"/>
      <w:lvlText w:val="◦"/>
      <w:numFmt w:val="bullet"/>
      <w:start w:val="1"/>
    </w:lvl>
  </w:abstractNum>
  <w:abstractNum w:abstractNumId="32">
    <w:nsid w:val="6590700B"/>
    <w:multiLevelType w:val="hybridMultilevel"/>
    <w:lvl w:ilvl="0">
      <w:lvlJc w:val="left"/>
      <w:lvlText w:val="•"/>
      <w:numFmt w:val="bullet"/>
      <w:start w:val="1"/>
    </w:lvl>
    <w:lvl w:ilvl="1">
      <w:lvlJc w:val="left"/>
      <w:lvlText w:val="◦"/>
      <w:numFmt w:val="bullet"/>
      <w:start w:val="1"/>
    </w:lvl>
  </w:abstractNum>
  <w:abstractNum w:abstractNumId="33">
    <w:nsid w:val="15014ACB"/>
    <w:multiLevelType w:val="hybridMultilevel"/>
    <w:lvl w:ilvl="0">
      <w:lvlJc w:val="left"/>
      <w:lvlText w:val="•"/>
      <w:numFmt w:val="bullet"/>
      <w:start w:val="1"/>
    </w:lvl>
    <w:lvl w:ilvl="1">
      <w:lvlJc w:val="left"/>
      <w:lvlText w:val="◦"/>
      <w:numFmt w:val="bullet"/>
      <w:start w:val="1"/>
    </w:lvl>
  </w:abstractNum>
  <w:abstractNum w:abstractNumId="34">
    <w:nsid w:val="5F5E7FD0"/>
    <w:multiLevelType w:val="hybridMultilevel"/>
    <w:lvl w:ilvl="0">
      <w:lvlJc w:val="left"/>
      <w:lvlText w:val="•"/>
      <w:numFmt w:val="bullet"/>
      <w:start w:val="1"/>
    </w:lvl>
  </w:abstractNum>
  <w:abstractNum w:abstractNumId="35">
    <w:nsid w:val="98A3148"/>
    <w:multiLevelType w:val="hybridMultilevel"/>
    <w:lvl w:ilvl="0">
      <w:lvlJc w:val="left"/>
      <w:lvlText w:val="•"/>
      <w:numFmt w:val="bullet"/>
      <w:start w:val="1"/>
    </w:lvl>
    <w:lvl w:ilvl="1">
      <w:lvlJc w:val="left"/>
      <w:lvlText w:val="◦"/>
      <w:numFmt w:val="bullet"/>
      <w:start w:val="1"/>
    </w:lvl>
  </w:abstractNum>
  <w:abstractNum w:abstractNumId="36">
    <w:nsid w:val="799D0247"/>
    <w:multiLevelType w:val="hybridMultilevel"/>
    <w:lvl w:ilvl="0">
      <w:lvlJc w:val="left"/>
      <w:lvlText w:val="•"/>
      <w:numFmt w:val="bullet"/>
      <w:start w:val="1"/>
    </w:lvl>
    <w:lvl w:ilvl="1">
      <w:lvlJc w:val="left"/>
      <w:lvlText w:val="◦"/>
      <w:numFmt w:val="bullet"/>
      <w:start w:val="1"/>
    </w:lvl>
  </w:abstractNum>
  <w:abstractNum w:abstractNumId="37">
    <w:nsid w:val="6B94764"/>
    <w:multiLevelType w:val="hybridMultilevel"/>
    <w:lvl w:ilvl="0">
      <w:lvlJc w:val="left"/>
      <w:lvlText w:val="•"/>
      <w:numFmt w:val="bullet"/>
      <w:start w:val="1"/>
    </w:lvl>
  </w:abstractNum>
  <w:abstractNum w:abstractNumId="38">
    <w:nsid w:val="42C296BD"/>
    <w:multiLevelType w:val="hybridMultilevel"/>
    <w:lvl w:ilvl="0">
      <w:lvlJc w:val="left"/>
      <w:lvlText w:val="•"/>
      <w:numFmt w:val="bullet"/>
      <w:start w:val="1"/>
    </w:lvl>
    <w:lvl w:ilvl="1">
      <w:lvlJc w:val="left"/>
      <w:lvlText w:val="◦"/>
      <w:numFmt w:val="bullet"/>
      <w:start w:val="1"/>
    </w:lvl>
  </w:abstractNum>
  <w:abstractNum w:abstractNumId="39">
    <w:nsid w:val="168E121F"/>
    <w:multiLevelType w:val="hybridMultilevel"/>
    <w:lvl w:ilvl="0">
      <w:lvlJc w:val="left"/>
      <w:lvlText w:val="•"/>
      <w:numFmt w:val="bullet"/>
      <w:start w:val="1"/>
    </w:lvl>
  </w:abstractNum>
  <w:abstractNum w:abstractNumId="40">
    <w:nsid w:val="1EBA5D23"/>
    <w:multiLevelType w:val="hybridMultilevel"/>
    <w:lvl w:ilvl="0">
      <w:lvlJc w:val="left"/>
      <w:lvlText w:val="•"/>
      <w:numFmt w:val="bullet"/>
      <w:start w:val="1"/>
    </w:lvl>
    <w:lvl w:ilvl="1">
      <w:lvlJc w:val="left"/>
      <w:lvlText w:val="◦"/>
      <w:numFmt w:val="bullet"/>
      <w:start w:val="1"/>
    </w:lvl>
  </w:abstractNum>
  <w:abstractNum w:abstractNumId="41">
    <w:nsid w:val="661E3F1E"/>
    <w:multiLevelType w:val="hybridMultilevel"/>
    <w:lvl w:ilvl="0">
      <w:lvlJc w:val="left"/>
      <w:lvlText w:val="•"/>
      <w:numFmt w:val="bullet"/>
      <w:start w:val="1"/>
    </w:lvl>
  </w:abstractNum>
  <w:abstractNum w:abstractNumId="42">
    <w:nsid w:val="5DC79EA8"/>
    <w:multiLevelType w:val="hybridMultilevel"/>
    <w:lvl w:ilvl="0">
      <w:lvlJc w:val="left"/>
      <w:lvlText w:val="•"/>
      <w:numFmt w:val="bullet"/>
      <w:start w:val="1"/>
    </w:lvl>
  </w:abstractNum>
  <w:abstractNum w:abstractNumId="43">
    <w:nsid w:val="540A471C"/>
    <w:multiLevelType w:val="hybridMultilevel"/>
    <w:lvl w:ilvl="0">
      <w:lvlJc w:val="left"/>
      <w:lvlText w:val="•"/>
      <w:numFmt w:val="bullet"/>
      <w:start w:val="1"/>
    </w:lvl>
    <w:lvl w:ilvl="1">
      <w:lvlJc w:val="left"/>
      <w:lvlText w:val="◦"/>
      <w:numFmt w:val="bullet"/>
      <w:start w:val="1"/>
    </w:lvl>
  </w:abstractNum>
  <w:abstractNum w:abstractNumId="44">
    <w:nsid w:val="7BD3EE7B"/>
    <w:multiLevelType w:val="hybridMultilevel"/>
    <w:lvl w:ilvl="0">
      <w:lvlJc w:val="left"/>
      <w:lvlText w:val="•"/>
      <w:numFmt w:val="bullet"/>
      <w:start w:val="1"/>
    </w:lvl>
    <w:lvl w:ilvl="1">
      <w:lvlJc w:val="left"/>
      <w:lvlText w:val="◦"/>
      <w:numFmt w:val="bullet"/>
      <w:start w:val="1"/>
    </w:lvl>
  </w:abstractNum>
  <w:abstractNum w:abstractNumId="45">
    <w:nsid w:val="51D9C564"/>
    <w:multiLevelType w:val="hybridMultilevel"/>
    <w:lvl w:ilvl="0">
      <w:lvlJc w:val="left"/>
      <w:lvlText w:val="•"/>
      <w:numFmt w:val="bullet"/>
      <w:start w:val="1"/>
    </w:lvl>
    <w:lvl w:ilvl="1">
      <w:lvlJc w:val="left"/>
      <w:lvlText w:val="◦"/>
      <w:numFmt w:val="bullet"/>
      <w:start w:val="1"/>
    </w:lvl>
  </w:abstractNum>
  <w:abstractNum w:abstractNumId="46">
    <w:nsid w:val="613EFDC5"/>
    <w:multiLevelType w:val="hybridMultilevel"/>
    <w:lvl w:ilvl="0">
      <w:lvlJc w:val="left"/>
      <w:lvlText w:val="•"/>
      <w:numFmt w:val="bullet"/>
      <w:start w:val="1"/>
    </w:lvl>
    <w:lvl w:ilvl="1">
      <w:lvlJc w:val="left"/>
      <w:lvlText w:val="◦"/>
      <w:numFmt w:val="bullet"/>
      <w:start w:val="1"/>
    </w:lvl>
  </w:abstractNum>
  <w:abstractNum w:abstractNumId="47">
    <w:nsid w:val="BF72B14"/>
    <w:multiLevelType w:val="hybridMultilevel"/>
    <w:lvl w:ilvl="0">
      <w:lvlJc w:val="left"/>
      <w:lvlText w:val="(%1)"/>
      <w:numFmt w:val="lowerLetter"/>
      <w:start w:val="1"/>
    </w:lvl>
  </w:abstractNum>
  <w:abstractNum w:abstractNumId="48">
    <w:nsid w:val="11447B73"/>
    <w:multiLevelType w:val="hybridMultilevel"/>
    <w:lvl w:ilvl="0">
      <w:lvlJc w:val="left"/>
      <w:lvlText w:val="(%1)"/>
      <w:numFmt w:val="lowerLetter"/>
      <w:start w:val="1"/>
    </w:lvl>
  </w:abstractNum>
  <w:abstractNum w:abstractNumId="49">
    <w:nsid w:val="42963E5A"/>
    <w:multiLevelType w:val="hybridMultilevel"/>
    <w:lvl w:ilvl="0">
      <w:lvlJc w:val="left"/>
      <w:lvlText w:val="(%1)"/>
      <w:numFmt w:val="lowerLetter"/>
      <w:start w:val="3"/>
    </w:lvl>
  </w:abstractNum>
  <w:abstractNum w:abstractNumId="50">
    <w:nsid w:val="A0382C5"/>
    <w:multiLevelType w:val="hybridMultilevel"/>
    <w:lvl w:ilvl="0">
      <w:lvlJc w:val="left"/>
      <w:lvlText w:val="(%1)"/>
      <w:numFmt w:val="lowerLetter"/>
      <w:start w:val="4"/>
    </w:lvl>
  </w:abstractNum>
  <w:abstractNum w:abstractNumId="51">
    <w:nsid w:val="8F2B15E"/>
    <w:multiLevelType w:val="hybridMultilevel"/>
    <w:lvl w:ilvl="0">
      <w:lvlJc w:val="left"/>
      <w:lvlText w:val="•"/>
      <w:numFmt w:val="bullet"/>
      <w:start w:val="1"/>
    </w:lvl>
  </w:abstractNum>
  <w:abstractNum w:abstractNumId="52">
    <w:nsid w:val="1A32234B"/>
    <w:multiLevelType w:val="hybridMultilevel"/>
    <w:lvl w:ilvl="0">
      <w:lvlJc w:val="left"/>
      <w:lvlText w:val="•"/>
      <w:numFmt w:val="bullet"/>
      <w:start w:val="1"/>
    </w:lvl>
  </w:abstractNum>
  <w:abstractNum w:abstractNumId="53">
    <w:nsid w:val="3B0FD379"/>
    <w:multiLevelType w:val="hybridMultilevel"/>
    <w:lvl w:ilvl="0">
      <w:lvlJc w:val="left"/>
      <w:lvlText w:val="•"/>
      <w:numFmt w:val="bullet"/>
      <w:start w:val="1"/>
    </w:lvl>
  </w:abstractNum>
  <w:abstractNum w:abstractNumId="54">
    <w:nsid w:val="68EB2F63"/>
    <w:multiLevelType w:val="hybridMultilevel"/>
    <w:lvl w:ilvl="0">
      <w:lvlJc w:val="left"/>
      <w:lvlText w:val="•"/>
      <w:numFmt w:val="bullet"/>
      <w:start w:val="1"/>
    </w:lvl>
  </w:abstractNum>
  <w:abstractNum w:abstractNumId="55">
    <w:nsid w:val="4962813B"/>
    <w:multiLevelType w:val="hybridMultilevel"/>
    <w:lvl w:ilvl="0">
      <w:lvlJc w:val="left"/>
      <w:lvlText w:val="\emdash "/>
      <w:numFmt w:val="bullet"/>
      <w:start w:val="1"/>
    </w:lvl>
  </w:abstractNum>
  <w:abstractNum w:abstractNumId="56">
    <w:nsid w:val="60B6DF70"/>
    <w:multiLevelType w:val="hybridMultilevel"/>
    <w:lvl w:ilvl="0">
      <w:lvlJc w:val="left"/>
      <w:lvlText w:val="(%1)"/>
      <w:numFmt w:val="lowerLetter"/>
      <w:start w:val="1"/>
    </w:lvl>
  </w:abstractNum>
  <w:abstractNum w:abstractNumId="57">
    <w:nsid w:val="6A5EE64"/>
    <w:multiLevelType w:val="hybridMultilevel"/>
    <w:lvl w:ilvl="0">
      <w:lvlJc w:val="left"/>
      <w:lvlText w:val="%1."/>
      <w:numFmt w:val="decimal"/>
      <w:start w:val="3"/>
    </w:lvl>
  </w:abstractNum>
  <w:abstractNum w:abstractNumId="58">
    <w:nsid w:val="14330624"/>
    <w:multiLevelType w:val="hybridMultilevel"/>
    <w:lvl w:ilvl="0">
      <w:lvlJc w:val="left"/>
      <w:lvlText w:val="(%1)"/>
      <w:numFmt w:val="lowerLetter"/>
      <w:start w:val="1"/>
    </w:lvl>
  </w:abstractNum>
  <w:abstractNum w:abstractNumId="59">
    <w:nsid w:val="7FFFCA11"/>
    <w:multiLevelType w:val="hybridMultilevel"/>
    <w:lvl w:ilvl="0">
      <w:lvlJc w:val="left"/>
      <w:lvlText w:val="(%1)"/>
      <w:numFmt w:val="lowerLetter"/>
      <w:start w:val="2"/>
    </w:lvl>
  </w:abstractNum>
  <w:abstractNum w:abstractNumId="60">
    <w:nsid w:val="1A27709E"/>
    <w:multiLevelType w:val="hybridMultilevel"/>
    <w:lvl w:ilvl="0">
      <w:lvlJc w:val="left"/>
      <w:lvlText w:val="$"/>
      <w:numFmt w:val="bullet"/>
      <w:start w:val="1"/>
    </w:lvl>
  </w:abstractNum>
  <w:abstractNum w:abstractNumId="61">
    <w:nsid w:val="71EA1109"/>
    <w:multiLevelType w:val="hybridMultilevel"/>
    <w:lvl w:ilvl="0">
      <w:lvlJc w:val="left"/>
      <w:lvlText w:val="$"/>
      <w:numFmt w:val="bullet"/>
      <w:start w:val="1"/>
    </w:lvl>
  </w:abstractNum>
  <w:abstractNum w:abstractNumId="62">
    <w:nsid w:val="100F59DC"/>
    <w:multiLevelType w:val="hybridMultilevel"/>
    <w:lvl w:ilvl="0">
      <w:lvlJc w:val="left"/>
      <w:lvlText w:val="(%1)"/>
      <w:numFmt w:val="lowerLetter"/>
      <w:start w:val="1"/>
    </w:lvl>
  </w:abstractNum>
  <w:abstractNum w:abstractNumId="63">
    <w:nsid w:val="7FB7E0AA"/>
    <w:multiLevelType w:val="hybridMultilevel"/>
    <w:lvl w:ilvl="0">
      <w:lvlJc w:val="left"/>
      <w:lvlText w:val="(%1)"/>
      <w:numFmt w:val="lowerLetter"/>
      <w:start w:val="3"/>
    </w:lvl>
  </w:abstractNum>
  <w:abstractNum w:abstractNumId="64">
    <w:nsid w:val="6EB5BD4"/>
    <w:multiLevelType w:val="hybridMultilevel"/>
    <w:lvl w:ilvl="0">
      <w:lvlJc w:val="left"/>
      <w:lvlText w:val="(%1)"/>
      <w:numFmt w:val="lowerLetter"/>
      <w:start w:val="4"/>
    </w:lvl>
  </w:abstractNum>
  <w:abstractNum w:abstractNumId="65">
    <w:nsid w:val="6F6DD9AC"/>
    <w:multiLevelType w:val="hybridMultilevel"/>
    <w:lvl w:ilvl="0">
      <w:lvlJc w:val="left"/>
      <w:lvlText w:val="(%1)"/>
      <w:numFmt w:val="lowerLetter"/>
      <w:start w:val="14"/>
    </w:lvl>
  </w:abstractNum>
  <w:abstractNum w:abstractNumId="66">
    <w:nsid w:val="94211F2"/>
    <w:multiLevelType w:val="hybridMultilevel"/>
    <w:lvl w:ilvl="0">
      <w:lvlJc w:val="left"/>
      <w:lvlText w:val="(%1)"/>
      <w:numFmt w:val="lowerLetter"/>
      <w:start w:val="1"/>
    </w:lvl>
  </w:abstractNum>
  <w:abstractNum w:abstractNumId="67">
    <w:nsid w:val="885E1B"/>
    <w:multiLevelType w:val="hybridMultilevel"/>
    <w:lvl w:ilvl="0">
      <w:lvlJc w:val="left"/>
      <w:lvlText w:val="(%1)"/>
      <w:numFmt w:val="lowerLetter"/>
      <w:start w:val="4"/>
    </w:lvl>
  </w:abstractNum>
  <w:abstractNum w:abstractNumId="68">
    <w:nsid w:val="76272110"/>
    <w:multiLevelType w:val="hybridMultilevel"/>
    <w:lvl w:ilvl="0">
      <w:lvlJc w:val="left"/>
      <w:lvlText w:val="(%1)"/>
      <w:numFmt w:val="lowerLetter"/>
      <w:start w:val="1"/>
    </w:lvl>
  </w:abstractNum>
  <w:abstractNum w:abstractNumId="69">
    <w:nsid w:val="4C04A8AF"/>
    <w:multiLevelType w:val="hybridMultilevel"/>
    <w:lvl w:ilvl="0">
      <w:lvlJc w:val="left"/>
      <w:lvlText w:val="(%1)"/>
      <w:numFmt w:val="lowerLetter"/>
      <w:start w:val="6"/>
    </w:lvl>
  </w:abstractNum>
  <w:abstractNum w:abstractNumId="70">
    <w:nsid w:val="1716703B"/>
    <w:multiLevelType w:val="hybridMultilevel"/>
    <w:lvl w:ilvl="0">
      <w:lvlJc w:val="left"/>
      <w:lvlText w:val="(%1)"/>
      <w:numFmt w:val="lowerLetter"/>
      <w:start w:val="1"/>
    </w:lvl>
  </w:abstractNum>
  <w:abstractNum w:abstractNumId="71">
    <w:nsid w:val="14E17E33"/>
    <w:multiLevelType w:val="hybridMultilevel"/>
    <w:lvl w:ilvl="0">
      <w:lvlJc w:val="left"/>
      <w:lvlText w:val="(%1)"/>
      <w:numFmt w:val="lowerLetter"/>
      <w:start w:val="2"/>
    </w:lvl>
  </w:abstractNum>
  <w:abstractNum w:abstractNumId="72">
    <w:nsid w:val="3222E7CD"/>
    <w:multiLevelType w:val="hybridMultilevel"/>
    <w:lvl w:ilvl="0">
      <w:lvlJc w:val="left"/>
      <w:lvlText w:val="(%1)"/>
      <w:numFmt w:val="decimal"/>
      <w:start w:val="1"/>
    </w:lvl>
  </w:abstractNum>
  <w:abstractNum w:abstractNumId="73">
    <w:nsid w:val="74DE0EE3"/>
    <w:multiLevelType w:val="hybridMultilevel"/>
    <w:lvl w:ilvl="0">
      <w:lvlJc w:val="left"/>
      <w:lvlText w:val="%1"/>
      <w:numFmt w:val="decimal"/>
      <w:start w:val="104"/>
    </w:lvl>
  </w:abstractNum>
  <w:abstractNum w:abstractNumId="74">
    <w:nsid w:val="68EBC550"/>
    <w:multiLevelType w:val="hybridMultilevel"/>
    <w:lvl w:ilvl="0">
      <w:lvlJc w:val="left"/>
      <w:lvlText w:val="(%1)"/>
      <w:numFmt w:val="decimal"/>
      <w:start w:val="1"/>
    </w:lvl>
  </w:abstractNum>
  <w:abstractNum w:abstractNumId="75">
    <w:nsid w:val="2DF6D648"/>
    <w:multiLevelType w:val="hybridMultilevel"/>
    <w:lvl w:ilvl="0">
      <w:lvlJc w:val="left"/>
      <w:lvlText w:val="(%1)"/>
      <w:numFmt w:val="lowerLetter"/>
      <w:start w:val="1"/>
    </w:lvl>
  </w:abstractNum>
  <w:abstractNum w:abstractNumId="76">
    <w:nsid w:val="46B7D447"/>
    <w:multiLevelType w:val="hybridMultilevel"/>
    <w:lvl w:ilvl="0">
      <w:lvlJc w:val="left"/>
      <w:lvlText w:val="(%1)"/>
      <w:numFmt w:val="decimal"/>
      <w:start w:val="1"/>
    </w:lvl>
  </w:abstractNum>
  <w:abstractNum w:abstractNumId="77">
    <w:nsid w:val="4A2AC315"/>
    <w:multiLevelType w:val="hybridMultilevel"/>
    <w:lvl w:ilvl="0">
      <w:lvlJc w:val="left"/>
      <w:lvlText w:val="[***]"/>
      <w:numFmt w:val="bullet"/>
      <w:start w:val="1"/>
    </w:lvl>
  </w:abstractNum>
  <w:abstractNum w:abstractNumId="78">
    <w:nsid w:val="39EE015C"/>
    <w:multiLevelType w:val="hybridMultilevel"/>
    <w:lvl w:ilvl="0">
      <w:lvlJc w:val="left"/>
      <w:lvlText w:val="%1."/>
      <w:numFmt w:val="decimal"/>
      <w:start w:val="1"/>
    </w:lvl>
  </w:abstractNum>
  <w:abstractNum w:abstractNumId="79">
    <w:nsid w:val="57FC4FBB"/>
    <w:multiLevelType w:val="hybridMultilevel"/>
    <w:lvl w:ilvl="0">
      <w:lvlJc w:val="left"/>
      <w:lvlText w:val="[***]"/>
      <w:numFmt w:val="bullet"/>
      <w:start w:val="1"/>
    </w:lvl>
  </w:abstractNum>
  <w:abstractNum w:abstractNumId="80">
    <w:nsid w:val="CC1016F"/>
    <w:multiLevelType w:val="hybridMultilevel"/>
    <w:lvl w:ilvl="0">
      <w:lvlJc w:val="left"/>
      <w:lvlText w:val="[***]"/>
      <w:numFmt w:val="bullet"/>
      <w:start w:val="1"/>
    </w:lvl>
  </w:abstractNum>
  <w:abstractNum w:abstractNumId="81">
    <w:nsid w:val="43F18422"/>
    <w:multiLevelType w:val="hybridMultilevel"/>
    <w:lvl w:ilvl="0">
      <w:lvlJc w:val="left"/>
      <w:lvlText w:val="(%1)"/>
      <w:numFmt w:val="lowerLetter"/>
      <w:start w:val="1"/>
    </w:lvl>
  </w:abstractNum>
  <w:abstractNum w:abstractNumId="82">
    <w:nsid w:val="60EF0119"/>
    <w:multiLevelType w:val="hybridMultilevel"/>
    <w:lvl w:ilvl="0">
      <w:lvlJc w:val="left"/>
      <w:lvlText w:val="[***]"/>
      <w:numFmt w:val="bullet"/>
      <w:start w:val="1"/>
    </w:lvl>
  </w:abstractNum>
  <w:abstractNum w:abstractNumId="83">
    <w:nsid w:val="26F324BA"/>
    <w:multiLevelType w:val="hybridMultilevel"/>
    <w:lvl w:ilvl="0">
      <w:lvlJc w:val="left"/>
      <w:lvlText w:val="[***]"/>
      <w:numFmt w:val="bullet"/>
      <w:start w:val="1"/>
    </w:lvl>
  </w:abstractNum>
  <w:abstractNum w:abstractNumId="84">
    <w:nsid w:val="7F01579B"/>
    <w:multiLevelType w:val="hybridMultilevel"/>
    <w:lvl w:ilvl="0">
      <w:lvlJc w:val="left"/>
      <w:lvlText w:val="[***]"/>
      <w:numFmt w:val="bullet"/>
      <w:start w:val="1"/>
    </w:lvl>
  </w:abstractNum>
  <w:abstractNum w:abstractNumId="85">
    <w:nsid w:val="49DA307D"/>
    <w:multiLevelType w:val="hybridMultilevel"/>
    <w:lvl w:ilvl="0">
      <w:lvlJc w:val="left"/>
      <w:lvlText w:val="[***]"/>
      <w:numFmt w:val="bullet"/>
      <w:start w:val="1"/>
    </w:lvl>
  </w:abstractNum>
  <w:abstractNum w:abstractNumId="86">
    <w:nsid w:val="7055A5F5"/>
    <w:multiLevelType w:val="hybridMultilevel"/>
    <w:lvl w:ilvl="0">
      <w:lvlJc w:val="left"/>
      <w:lvlText w:val="[***]"/>
      <w:numFmt w:val="bullet"/>
      <w:start w:val="1"/>
    </w:lvl>
  </w:abstractNum>
  <w:abstractNum w:abstractNumId="87">
    <w:nsid w:val="5FB8370B"/>
    <w:multiLevelType w:val="hybridMultilevel"/>
    <w:lvl w:ilvl="0">
      <w:lvlJc w:val="left"/>
      <w:lvlText w:val="[***]"/>
      <w:numFmt w:val="bullet"/>
      <w:start w:val="1"/>
    </w:lvl>
  </w:abstractNum>
  <w:abstractNum w:abstractNumId="88">
    <w:nsid w:val="50801EE1"/>
    <w:multiLevelType w:val="hybridMultilevel"/>
    <w:lvl w:ilvl="0">
      <w:lvlJc w:val="left"/>
      <w:lvlText w:val="[***]"/>
      <w:numFmt w:val="bullet"/>
      <w:start w:val="1"/>
    </w:lvl>
  </w:abstractNum>
  <w:abstractNum w:abstractNumId="89">
    <w:nsid w:val="488AC1A"/>
    <w:multiLevelType w:val="hybridMultilevel"/>
    <w:lvl w:ilvl="0">
      <w:lvlJc w:val="left"/>
      <w:lvlText w:val="[***]"/>
      <w:numFmt w:val="bullet"/>
      <w:start w:val="1"/>
    </w:lvl>
  </w:abstractNum>
  <w:abstractNum w:abstractNumId="90">
    <w:nsid w:val="5FB8011C"/>
    <w:multiLevelType w:val="hybridMultilevel"/>
    <w:lvl w:ilvl="0">
      <w:lvlJc w:val="left"/>
      <w:lvlText w:val="[***]"/>
      <w:numFmt w:val="bullet"/>
      <w:start w:val="1"/>
    </w:lvl>
  </w:abstractNum>
  <w:abstractNum w:abstractNumId="91">
    <w:nsid w:val="6AA78F7F"/>
    <w:multiLevelType w:val="hybridMultilevel"/>
    <w:lvl w:ilvl="0">
      <w:lvlJc w:val="left"/>
      <w:lvlText w:val="[***]"/>
      <w:numFmt w:val="bullet"/>
      <w:start w:val="1"/>
    </w:lvl>
  </w:abstractNum>
  <w:abstractNum w:abstractNumId="92">
    <w:nsid w:val="7672BD23"/>
    <w:multiLevelType w:val="hybridMultilevel"/>
    <w:lvl w:ilvl="0">
      <w:lvlJc w:val="left"/>
      <w:lvlText w:val="%1."/>
      <w:numFmt w:val="decimal"/>
      <w:start w:val="2"/>
    </w:lvl>
  </w:abstractNum>
  <w:abstractNum w:abstractNumId="93">
    <w:nsid w:val="6FC75AF8"/>
    <w:multiLevelType w:val="hybridMultilevel"/>
    <w:lvl w:ilvl="0">
      <w:lvlJc w:val="left"/>
      <w:lvlText w:val="•"/>
      <w:numFmt w:val="bullet"/>
      <w:start w:val="1"/>
    </w:lvl>
  </w:abstractNum>
  <w:abstractNum w:abstractNumId="94">
    <w:nsid w:val="6A5F7029"/>
    <w:multiLevelType w:val="hybridMultilevel"/>
    <w:lvl w:ilvl="0">
      <w:lvlJc w:val="left"/>
      <w:lvlText w:val="•"/>
      <w:numFmt w:val="bullet"/>
      <w:start w:val="1"/>
    </w:lvl>
  </w:abstractNum>
  <w:abstractNum w:abstractNumId="95">
    <w:nsid w:val="7D5E18F8"/>
    <w:multiLevelType w:val="hybridMultilevel"/>
    <w:lvl w:ilvl="0">
      <w:lvlJc w:val="left"/>
      <w:lvlText w:val="(%1)"/>
      <w:numFmt w:val="lowerRoman"/>
      <w:start w:val="3"/>
    </w:lvl>
  </w:abstractNum>
  <w:abstractNum w:abstractNumId="96">
    <w:nsid w:val="5F3534A4"/>
    <w:multiLevelType w:val="hybridMultilevel"/>
    <w:lvl w:ilvl="0">
      <w:lvlJc w:val="left"/>
      <w:lvlText w:val="•"/>
      <w:numFmt w:val="bullet"/>
      <w:start w:val="1"/>
    </w:lvl>
  </w:abstractNum>
  <w:abstractNum w:abstractNumId="97">
    <w:nsid w:val="73A1821B"/>
    <w:multiLevelType w:val="hybridMultilevel"/>
    <w:lvl w:ilvl="0">
      <w:lvlJc w:val="left"/>
      <w:lvlText w:val="•"/>
      <w:numFmt w:val="bullet"/>
      <w:start w:val="1"/>
    </w:lvl>
  </w:abstractNum>
  <w:abstractNum w:abstractNumId="98">
    <w:nsid w:val="7DE67713"/>
    <w:multiLevelType w:val="hybridMultilevel"/>
    <w:lvl w:ilvl="0">
      <w:lvlJc w:val="left"/>
      <w:lvlText w:val="(%1)"/>
      <w:numFmt w:val="decimal"/>
      <w:start w:val="1"/>
    </w:lvl>
  </w:abstractNum>
  <w:abstractNum w:abstractNumId="99">
    <w:nsid w:val="555C55B5"/>
    <w:multiLevelType w:val="hybridMultilevel"/>
    <w:lvl w:ilvl="0">
      <w:lvlJc w:val="left"/>
      <w:lvlText w:val="%1."/>
      <w:numFmt w:val="decimal"/>
      <w:start w:val="1"/>
    </w:lvl>
    <w:lvl w:ilvl="1">
      <w:lvlJc w:val="left"/>
      <w:lvlText w:val="%2)"/>
      <w:numFmt w:val="lowerLetter"/>
      <w:start w:val="1"/>
    </w:lvl>
  </w:abstractNum>
  <w:abstractNum w:abstractNumId="100">
    <w:nsid w:val="3FA62ACA"/>
    <w:multiLevelType w:val="hybridMultilevel"/>
    <w:lvl w:ilvl="0">
      <w:lvlJc w:val="left"/>
      <w:lvlText w:val="%1."/>
      <w:numFmt w:val="decimal"/>
      <w:start w:val="1"/>
    </w:lvl>
    <w:lvl w:ilvl="1">
      <w:lvlJc w:val="left"/>
      <w:lvlText w:val="%2)"/>
      <w:numFmt w:val="lowerLetter"/>
      <w:start w:val="1"/>
    </w:lvl>
  </w:abstractNum>
  <w:abstractNum w:abstractNumId="101">
    <w:nsid w:val="14FCE74E"/>
    <w:multiLevelType w:val="hybridMultilevel"/>
    <w:lvl w:ilvl="0">
      <w:lvlJc w:val="left"/>
      <w:lvlText w:val="%1."/>
      <w:numFmt w:val="decimal"/>
      <w:start w:val="1"/>
    </w:lvl>
    <w:lvl w:ilvl="1">
      <w:lvlJc w:val="left"/>
      <w:lvlText w:val="%2)"/>
      <w:numFmt w:val="lowerLetter"/>
      <w:start w:val="1"/>
    </w:lvl>
  </w:abstractNum>
  <w:abstractNum w:abstractNumId="102">
    <w:nsid w:val="6A3DD3E8"/>
    <w:multiLevelType w:val="hybridMultilevel"/>
    <w:lvl w:ilvl="0">
      <w:lvlJc w:val="left"/>
      <w:lvlText w:val="(%1)"/>
      <w:numFmt w:val="decimal"/>
      <w:start w:val="1"/>
    </w:lvl>
  </w:abstractNum>
  <w:abstractNum w:abstractNumId="103">
    <w:nsid w:val="71C91298"/>
    <w:multiLevelType w:val="hybridMultilevel"/>
    <w:lvl w:ilvl="0">
      <w:lvlJc w:val="left"/>
      <w:lvlText w:val="(%1)"/>
      <w:numFmt w:val="decimal"/>
      <w:start w:val="1"/>
    </w:lvl>
  </w:abstractNum>
  <w:abstractNum w:abstractNumId="104">
    <w:nsid w:val="9DAF6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17" Type="http://schemas.openxmlformats.org/officeDocument/2006/relationships/image" Target="media/image195.png"/><Relationship Id="rId235" Type="http://schemas.openxmlformats.org/officeDocument/2006/relationships/image" Target="media/image196.png"/><Relationship Id="rId236" Type="http://schemas.openxmlformats.org/officeDocument/2006/relationships/image" Target="media/image197.png"/><Relationship Id="rId250" Type="http://schemas.openxmlformats.org/officeDocument/2006/relationships/image" Target="media/image198.png"/><Relationship Id="rId251" Type="http://schemas.openxmlformats.org/officeDocument/2006/relationships/image" Target="media/image199.png"/><Relationship Id="rId252" Type="http://schemas.openxmlformats.org/officeDocument/2006/relationships/image" Target="media/image200.png"/><Relationship Id="rId253" Type="http://schemas.openxmlformats.org/officeDocument/2006/relationships/image" Target="media/image201.png"/><Relationship Id="rId254" Type="http://schemas.openxmlformats.org/officeDocument/2006/relationships/image" Target="media/image202.png"/><Relationship Id="rId255" Type="http://schemas.openxmlformats.org/officeDocument/2006/relationships/image" Target="media/image203.png"/><Relationship Id="rId256" Type="http://schemas.openxmlformats.org/officeDocument/2006/relationships/image" Target="media/image204.png"/><Relationship Id="rId257" Type="http://schemas.openxmlformats.org/officeDocument/2006/relationships/image" Target="media/image205.png"/><Relationship Id="rId258" Type="http://schemas.openxmlformats.org/officeDocument/2006/relationships/image" Target="media/image206.png"/><Relationship Id="rId259" Type="http://schemas.openxmlformats.org/officeDocument/2006/relationships/image" Target="media/image207.jpeg"/><Relationship Id="rId260" Type="http://schemas.openxmlformats.org/officeDocument/2006/relationships/image" Target="media/image208.jpeg"/><Relationship Id="rId261" Type="http://schemas.openxmlformats.org/officeDocument/2006/relationships/image" Target="media/image209.jpeg"/><Relationship Id="rId202" Type="http://schemas.openxmlformats.org/officeDocument/2006/relationships/hyperlink" Target="https://www.sec.gov/Archives/edgar/data/0001800227/000110465921123899/tm2129390d1_ex2-1.htm" TargetMode="External"/><Relationship Id="rId203" Type="http://schemas.openxmlformats.org/officeDocument/2006/relationships/hyperlink" Target="https://www.sec.gov/Archives/edgar/data/891103/000104746920000859/a2240670zs-4.htm#LA_ANN" TargetMode="External"/><Relationship Id="rId204" Type="http://schemas.openxmlformats.org/officeDocument/2006/relationships/hyperlink" Target="https://www.sec.gov/Archives/edgar/data/891103/000110465920052370/tm2015158d2_ex2-1.htm" TargetMode="External"/><Relationship Id="rId205" Type="http://schemas.openxmlformats.org/officeDocument/2006/relationships/hyperlink" Target="https://www.sec.gov/Archives/edgar/data/1800227/000110465920076155/tm2022502d4_ex2-1.htm" TargetMode="External"/><Relationship Id="rId206" Type="http://schemas.openxmlformats.org/officeDocument/2006/relationships/hyperlink" Target="https://www.sec.gov/Archives/edgar/data/1800227/000180022724000039/iac-ex31_2024630.htm" TargetMode="External"/><Relationship Id="rId207" Type="http://schemas.openxmlformats.org/officeDocument/2006/relationships/hyperlink" Target="https://www.sec.gov/Archives/edgar/data/1800227/000110465920080610/tm2022502d7_ex3-1c.htm" TargetMode="External"/><Relationship Id="rId208" Type="http://schemas.openxmlformats.org/officeDocument/2006/relationships/hyperlink" Target="https://www.sec.gov/Archives/edgar/data/1800227/000110465921072522/tm2116546d4_ex4-2.htm" TargetMode="External"/><Relationship Id="rId209" Type="http://schemas.openxmlformats.org/officeDocument/2006/relationships/hyperlink" Target="https://www.sec.gov/Archives/edgar/data/1800227/000110465922090069/tm2223192d1_ex3-1.htm" TargetMode="External"/><Relationship Id="rId210" Type="http://schemas.openxmlformats.org/officeDocument/2006/relationships/hyperlink" Target="https://www.sec.gov/ix?doc=/Archives/edgar/data/0001800227/000110465924071290/tm2417101d2_8k.htm" TargetMode="External"/><Relationship Id="rId211" Type="http://schemas.openxmlformats.org/officeDocument/2006/relationships/hyperlink" Target="https://www.sec.gov/Archives/edgar/data/1800227/000110465920080610/tm2022502d7_ex3-2.htm" TargetMode="External"/><Relationship Id="rId212" Type="http://schemas.openxmlformats.org/officeDocument/2006/relationships/hyperlink" Target="https://www.sec.gov/Archives/edgar/data/1800227/000110465922090069/tm2223192d1_ex3-2.htm" TargetMode="External"/><Relationship Id="rId213" Type="http://schemas.openxmlformats.org/officeDocument/2006/relationships/hyperlink" Target="https://www.sec.gov/Archives/edgar/data/1800227/000180022723000009/iac-ex41descriptionofsecur.htm" TargetMode="External"/><Relationship Id="rId214" Type="http://schemas.openxmlformats.org/officeDocument/2006/relationships/hyperlink" Target="https://www.sec.gov/Archives/edgar/data/0001705110/000110465920097244/tm2029029d1_ex4-1.htm" TargetMode="External"/><Relationship Id="rId215" Type="http://schemas.openxmlformats.org/officeDocument/2006/relationships/hyperlink" Target="https://www.sec.gov/Archives/edgar/data/891103/000091205705000256/a2164849zex-10_1.htm" TargetMode="External"/><Relationship Id="rId216" Type="http://schemas.openxmlformats.org/officeDocument/2006/relationships/hyperlink" Target="https://www.sec.gov/Archives/edgar/data/891103/000089882210000770/liberty-iac8kdillerterminat.htm" TargetMode="External"/><Relationship Id="rId218" Type="http://schemas.openxmlformats.org/officeDocument/2006/relationships/hyperlink" Target="https://www.sec.gov/Archives/edgar/data/891103/000089882210000770/iac8k-dillerletteragreement.htm" TargetMode="External"/><Relationship Id="rId219" Type="http://schemas.openxmlformats.org/officeDocument/2006/relationships/hyperlink" Target="https://www.sec.gov/Archives/edgar/data/0001800227/000110465921145542/tm2134264d1_ex10-1.htm" TargetMode="External"/><Relationship Id="rId220" Type="http://schemas.openxmlformats.org/officeDocument/2006/relationships/hyperlink" Target="https://www.sec.gov/Archives/edgar/data/0001800227/000110465924123092/tm2429516d1_ex10-1.htm" TargetMode="External"/><Relationship Id="rId221" Type="http://schemas.openxmlformats.org/officeDocument/2006/relationships/hyperlink" Target="https://www.sec.gov/Archives/edgar/data/891103/000110465918043251/a18-16234_1ex10d1.htm" TargetMode="External"/><Relationship Id="rId222" Type="http://schemas.openxmlformats.org/officeDocument/2006/relationships/hyperlink" Target="https://www.sec.gov/Archives/edgar/data/0001800227/000180022721000004/exhibit107formofnoticeandt.htm" TargetMode="External"/><Relationship Id="rId223" Type="http://schemas.openxmlformats.org/officeDocument/2006/relationships/hyperlink" Target="https://www.sec.gov/Archives/edgar/data/891103/000089110313000017/iaci-ex101_2013630.htm" TargetMode="External"/><Relationship Id="rId224" Type="http://schemas.openxmlformats.org/officeDocument/2006/relationships/hyperlink" Target="https://www.sec.gov/Archives/edgar/data/891103/000089110314000003/iaci-ex106_20131231xq4.htm" TargetMode="External"/><Relationship Id="rId225" Type="http://schemas.openxmlformats.org/officeDocument/2006/relationships/hyperlink" Target="https://www.sec.gov/Archives/edgar/data/891103/000104746908008078/a2186784zdef14a.htm#toc_gi45001_1" TargetMode="External"/><Relationship Id="rId226" Type="http://schemas.openxmlformats.org/officeDocument/2006/relationships/hyperlink" Target="https://www.sec.gov/Archives/edgar/data/891103/000104746909002040/a2190666zex-10_7.htm" TargetMode="External"/><Relationship Id="rId227" Type="http://schemas.openxmlformats.org/officeDocument/2006/relationships/hyperlink" Target="https://www.sec.gov/Archives/edgar/data/0001800227/000180022721000004/exhibit1016summaryofiacint.htm" TargetMode="External"/><Relationship Id="rId228" Type="http://schemas.openxmlformats.org/officeDocument/2006/relationships/hyperlink" Target="https://www.sec.gov/Archives/edgar/data/891103/000104746911004675/a2203680zex-10_1.htm" TargetMode="External"/><Relationship Id="rId229" Type="http://schemas.openxmlformats.org/officeDocument/2006/relationships/hyperlink" Target="https://www.sec.gov/Archives/edgar/data/891103/0000950144-97-004147-index.html" TargetMode="External"/><Relationship Id="rId230" Type="http://schemas.openxmlformats.org/officeDocument/2006/relationships/hyperlink" Target="https://www.sec.gov/Archives/edgar/data/0001800227/000110465925003096/tm253165d1_ex10-1.htm" TargetMode="External"/><Relationship Id="rId231" Type="http://schemas.openxmlformats.org/officeDocument/2006/relationships/hyperlink" Target="https://www.sec.gov/Archives/edgar/data/891103/000104746912005592/a2209235zex-10_1.htm" TargetMode="External"/><Relationship Id="rId232" Type="http://schemas.openxmlformats.org/officeDocument/2006/relationships/hyperlink" Target="https://www.sec.gov/Archives/edgar/data/1800227/000180022722000007/iac-ex1019halpinemployment.htm" TargetMode="External"/><Relationship Id="rId233" Type="http://schemas.openxmlformats.org/officeDocument/2006/relationships/hyperlink" Target="https://www.sec.gov/Archives/edgar/data/0001800227/000180022721000004/exhibit1025employmentagree.htm" TargetMode="External"/><Relationship Id="rId234" Type="http://schemas.openxmlformats.org/officeDocument/2006/relationships/hyperlink" Target="https://www.sec.gov/Archives/edgar/data/1800227/000180022724000011/iac-ex1024_googleservicesa.htm" TargetMode="External"/><Relationship Id="rId237" Type="http://schemas.openxmlformats.org/officeDocument/2006/relationships/hyperlink" Target="https://www.sec.gov/Archives/edgar/data/1800227/000180022724000011/iac-ex1025_amno3togoogleag.htm" TargetMode="External"/><Relationship Id="rId238" Type="http://schemas.openxmlformats.org/officeDocument/2006/relationships/hyperlink" Target="https://www.sec.gov/Archives/edgar/data/1800227/000180022724000011/iac-ex1026_amno4togoogleag.htm" TargetMode="External"/><Relationship Id="rId239" Type="http://schemas.openxmlformats.org/officeDocument/2006/relationships/hyperlink" Target="https://www.sec.gov/Archives/edgar/data/0001800227/000110465921074131/tm2116546d5_ex10-2.htm" TargetMode="External"/><Relationship Id="rId240" Type="http://schemas.openxmlformats.org/officeDocument/2006/relationships/hyperlink" Target="https://www.sec.gov/Archives/edgar/data/0001800227/000110465921074131/tm2116546d5_ex10-3.htm" TargetMode="External"/><Relationship Id="rId241" Type="http://schemas.openxmlformats.org/officeDocument/2006/relationships/hyperlink" Target="https://www.sec.gov/Archives/edgar/data/0001800227/000110465920080610/tm2022502d7_ex10-3.htm" TargetMode="External"/><Relationship Id="rId242" Type="http://schemas.openxmlformats.org/officeDocument/2006/relationships/hyperlink" Target="https://www.sec.gov/Archives/edgar/data/1800227/000110465920080610/tm2022502d7_ex10-2.htm" TargetMode="External"/><Relationship Id="rId243" Type="http://schemas.openxmlformats.org/officeDocument/2006/relationships/hyperlink" Target="https://www.sec.gov/Archives/edgar/data/891103/000110465917060063/a17-22741_1ex2d1.htm" TargetMode="External"/><Relationship Id="rId244" Type="http://schemas.openxmlformats.org/officeDocument/2006/relationships/hyperlink" Target="https://www.sec.gov/Archives/edgar/data/891103/000110465917060063/a17-22741_1ex2d5.htm" TargetMode="External"/><Relationship Id="rId245" Type="http://schemas.openxmlformats.org/officeDocument/2006/relationships/hyperlink" Target="https://www.sec.gov/Archives/edgar/data/891103/000110465917060063/a17-22741_1ex2d2.htm" TargetMode="External"/><Relationship Id="rId246" Type="http://schemas.openxmlformats.org/officeDocument/2006/relationships/hyperlink" Target="https://www.sec.gov/Archives/edgar/data/891103/000110465917060063/a17-22741_1ex2d4.htm" TargetMode="External"/><Relationship Id="rId247" Type="http://schemas.openxmlformats.org/officeDocument/2006/relationships/hyperlink" Target="https://www.sec.gov/Archives/edgar/data/891103/000110465917060063/a17-22741_1ex2d3.htm" TargetMode="External"/><Relationship Id="rId248" Type="http://schemas.openxmlformats.org/officeDocument/2006/relationships/hyperlink" Target="https://www.sec.gov/Archives/edgar/data/1800227/000180022724000011/iac-ex971_iacincclawbackpo.htm" TargetMode="External"/><Relationship Id="rId249" Type="http://schemas.openxmlformats.org/officeDocument/2006/relationships/hyperlink" Target="https://www.sec.gov/Archives/edgar/data/789570/000078957025000008/mgm-20241231.htm#i418a221a8fa24613b35b42b55899c113_6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2025-02-28T15:50:22Z</dcterms:created>
  <dcterms:modified xsi:type="dcterms:W3CDTF">2025-02-28T15:50:22Z</dcterms:modified>
</cp:coreProperties>
</file>