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116205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SCHEDULE TO</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 14d-100)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73660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Care.com,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of Subject Company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116205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Buzz Merger Sub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(Offeror)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 wholly-owned subsidiary of</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IAC/InterActiveCorp</w:t>
      </w:r>
    </w:p>
    <w:p>
      <w:pPr>
        <w:jc w:val="center"/>
        <w:spacing w:after="0"/>
        <w:rPr>
          <w:sz w:val="20"/>
          <w:szCs w:val="20"/>
          <w:color w:val="auto"/>
        </w:rPr>
      </w:pPr>
      <w:r>
        <w:rPr>
          <w:rFonts w:ascii="Times New Roman" w:cs="Times New Roman" w:eastAsia="Times New Roman" w:hAnsi="Times New Roman"/>
          <w:sz w:val="14"/>
          <w:szCs w:val="14"/>
          <w:color w:val="auto"/>
        </w:rPr>
        <w:t>(Parent of Offeror)</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(Names of Filing Persons (identifying status as Offeror, Issuer or Other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$0.001 per share (“Common Shares”)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Series A Convertible Preferred Stock, $0.001 par value per share (“Preferred Shares”)</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(Title of Class of Securities)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141633107 (Common Shares)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None (Preferred Shares)</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(CUSIP Number of Class of Securities)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Gregg Winiarski</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Executive Vice President, General Counsel &amp; Secretary</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IAC/InterActiveCorp</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555 West 18th Street</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New York, New York 10011</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(212) 314-7300</w:t>
      </w:r>
    </w:p>
    <w:p>
      <w:pPr>
        <w:jc w:val="center"/>
        <w:spacing w:after="0"/>
        <w:rPr>
          <w:sz w:val="20"/>
          <w:szCs w:val="20"/>
          <w:color w:val="auto"/>
        </w:rPr>
      </w:pPr>
      <w:r>
        <w:rPr>
          <w:rFonts w:ascii="Times New Roman" w:cs="Times New Roman" w:eastAsia="Times New Roman" w:hAnsi="Times New Roman"/>
          <w:sz w:val="14"/>
          <w:szCs w:val="14"/>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116205</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7140" w:type="dxa"/>
            <w:vAlign w:val="bottom"/>
            <w:gridSpan w:val="2"/>
          </w:tcPr>
          <w:p>
            <w:pPr>
              <w:jc w:val="center"/>
              <w:ind w:right="4206"/>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149"/>
        </w:trPr>
        <w:tc>
          <w:tcPr>
            <w:tcW w:w="4280" w:type="dxa"/>
            <w:vAlign w:val="bottom"/>
          </w:tcPr>
          <w:p>
            <w:pPr>
              <w:spacing w:after="0"/>
              <w:rPr>
                <w:sz w:val="12"/>
                <w:szCs w:val="12"/>
                <w:color w:val="auto"/>
              </w:rPr>
            </w:pPr>
          </w:p>
        </w:tc>
        <w:tc>
          <w:tcPr>
            <w:tcW w:w="7140" w:type="dxa"/>
            <w:vAlign w:val="bottom"/>
            <w:gridSpan w:val="2"/>
          </w:tcPr>
          <w:p>
            <w:pPr>
              <w:jc w:val="center"/>
              <w:ind w:right="4226"/>
              <w:spacing w:after="0" w:line="149" w:lineRule="exact"/>
              <w:rPr>
                <w:sz w:val="20"/>
                <w:szCs w:val="20"/>
                <w:color w:val="auto"/>
              </w:rPr>
            </w:pPr>
            <w:r>
              <w:rPr>
                <w:rFonts w:ascii="Times New Roman" w:cs="Times New Roman" w:eastAsia="Times New Roman" w:hAnsi="Times New Roman"/>
                <w:sz w:val="14"/>
                <w:szCs w:val="14"/>
                <w:b w:val="1"/>
                <w:bCs w:val="1"/>
                <w:color w:val="auto"/>
              </w:rPr>
              <w:t>Brandon Van Dyke</w:t>
            </w:r>
          </w:p>
        </w:tc>
      </w:tr>
      <w:tr>
        <w:trPr>
          <w:trHeight w:val="149"/>
        </w:trPr>
        <w:tc>
          <w:tcPr>
            <w:tcW w:w="4280" w:type="dxa"/>
            <w:vAlign w:val="bottom"/>
          </w:tcPr>
          <w:p>
            <w:pPr>
              <w:spacing w:after="0"/>
              <w:rPr>
                <w:sz w:val="12"/>
                <w:szCs w:val="12"/>
                <w:color w:val="auto"/>
              </w:rPr>
            </w:pPr>
          </w:p>
        </w:tc>
        <w:tc>
          <w:tcPr>
            <w:tcW w:w="7140" w:type="dxa"/>
            <w:vAlign w:val="bottom"/>
            <w:gridSpan w:val="2"/>
          </w:tcPr>
          <w:p>
            <w:pPr>
              <w:jc w:val="center"/>
              <w:ind w:right="4226"/>
              <w:spacing w:after="0" w:line="149" w:lineRule="exact"/>
              <w:rPr>
                <w:sz w:val="20"/>
                <w:szCs w:val="20"/>
                <w:color w:val="auto"/>
              </w:rPr>
            </w:pPr>
            <w:r>
              <w:rPr>
                <w:rFonts w:ascii="Times New Roman" w:cs="Times New Roman" w:eastAsia="Times New Roman" w:hAnsi="Times New Roman"/>
                <w:sz w:val="14"/>
                <w:szCs w:val="14"/>
                <w:b w:val="1"/>
                <w:bCs w:val="1"/>
                <w:color w:val="auto"/>
              </w:rPr>
              <w:t>Richard L. Oliver</w:t>
            </w:r>
          </w:p>
        </w:tc>
      </w:tr>
      <w:tr>
        <w:trPr>
          <w:trHeight w:val="149"/>
        </w:trPr>
        <w:tc>
          <w:tcPr>
            <w:tcW w:w="4280" w:type="dxa"/>
            <w:vAlign w:val="bottom"/>
          </w:tcPr>
          <w:p>
            <w:pPr>
              <w:spacing w:after="0"/>
              <w:rPr>
                <w:sz w:val="12"/>
                <w:szCs w:val="12"/>
                <w:color w:val="auto"/>
              </w:rPr>
            </w:pPr>
          </w:p>
        </w:tc>
        <w:tc>
          <w:tcPr>
            <w:tcW w:w="7140" w:type="dxa"/>
            <w:vAlign w:val="bottom"/>
            <w:gridSpan w:val="2"/>
          </w:tcPr>
          <w:p>
            <w:pPr>
              <w:jc w:val="center"/>
              <w:ind w:right="4226"/>
              <w:spacing w:after="0" w:line="149" w:lineRule="exact"/>
              <w:rPr>
                <w:sz w:val="20"/>
                <w:szCs w:val="20"/>
                <w:color w:val="auto"/>
              </w:rPr>
            </w:pPr>
            <w:r>
              <w:rPr>
                <w:rFonts w:ascii="Times New Roman" w:cs="Times New Roman" w:eastAsia="Times New Roman" w:hAnsi="Times New Roman"/>
                <w:sz w:val="14"/>
                <w:szCs w:val="14"/>
                <w:b w:val="1"/>
                <w:bCs w:val="1"/>
                <w:color w:val="auto"/>
              </w:rPr>
              <w:t>Skadden, Arps, Slate, Meagher &amp; Flom LLP</w:t>
            </w:r>
          </w:p>
        </w:tc>
      </w:tr>
      <w:tr>
        <w:trPr>
          <w:trHeight w:val="149"/>
        </w:trPr>
        <w:tc>
          <w:tcPr>
            <w:tcW w:w="4280" w:type="dxa"/>
            <w:vAlign w:val="bottom"/>
          </w:tcPr>
          <w:p>
            <w:pPr>
              <w:spacing w:after="0"/>
              <w:rPr>
                <w:sz w:val="12"/>
                <w:szCs w:val="12"/>
                <w:color w:val="auto"/>
              </w:rPr>
            </w:pPr>
          </w:p>
        </w:tc>
        <w:tc>
          <w:tcPr>
            <w:tcW w:w="7140" w:type="dxa"/>
            <w:vAlign w:val="bottom"/>
            <w:gridSpan w:val="2"/>
          </w:tcPr>
          <w:p>
            <w:pPr>
              <w:jc w:val="center"/>
              <w:ind w:right="4226"/>
              <w:spacing w:after="0" w:line="149" w:lineRule="exact"/>
              <w:rPr>
                <w:sz w:val="20"/>
                <w:szCs w:val="20"/>
                <w:color w:val="auto"/>
              </w:rPr>
            </w:pPr>
            <w:r>
              <w:rPr>
                <w:rFonts w:ascii="Times New Roman" w:cs="Times New Roman" w:eastAsia="Times New Roman" w:hAnsi="Times New Roman"/>
                <w:sz w:val="14"/>
                <w:szCs w:val="14"/>
                <w:b w:val="1"/>
                <w:bCs w:val="1"/>
                <w:color w:val="auto"/>
              </w:rPr>
              <w:t>Four Times Square</w:t>
            </w:r>
          </w:p>
        </w:tc>
      </w:tr>
      <w:tr>
        <w:trPr>
          <w:trHeight w:val="149"/>
        </w:trPr>
        <w:tc>
          <w:tcPr>
            <w:tcW w:w="4280" w:type="dxa"/>
            <w:vAlign w:val="bottom"/>
          </w:tcPr>
          <w:p>
            <w:pPr>
              <w:spacing w:after="0"/>
              <w:rPr>
                <w:sz w:val="12"/>
                <w:szCs w:val="12"/>
                <w:color w:val="auto"/>
              </w:rPr>
            </w:pPr>
          </w:p>
        </w:tc>
        <w:tc>
          <w:tcPr>
            <w:tcW w:w="7140" w:type="dxa"/>
            <w:vAlign w:val="bottom"/>
            <w:gridSpan w:val="2"/>
          </w:tcPr>
          <w:p>
            <w:pPr>
              <w:jc w:val="center"/>
              <w:ind w:right="4226"/>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10036</w:t>
            </w:r>
          </w:p>
        </w:tc>
      </w:tr>
      <w:tr>
        <w:trPr>
          <w:trHeight w:val="190"/>
        </w:trPr>
        <w:tc>
          <w:tcPr>
            <w:tcW w:w="428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(212) 735-3000</w:t>
            </w:r>
          </w:p>
        </w:tc>
        <w:tc>
          <w:tcPr>
            <w:tcW w:w="4260" w:type="dxa"/>
            <w:vAlign w:val="bottom"/>
          </w:tcPr>
          <w:p>
            <w:pPr>
              <w:spacing w:after="0"/>
              <w:rPr>
                <w:sz w:val="16"/>
                <w:szCs w:val="16"/>
                <w:color w:val="auto"/>
              </w:rPr>
            </w:pPr>
          </w:p>
        </w:tc>
      </w:tr>
      <w:tr>
        <w:trPr>
          <w:trHeight w:val="172"/>
        </w:trPr>
        <w:tc>
          <w:tcPr>
            <w:tcW w:w="4280" w:type="dxa"/>
            <w:vAlign w:val="bottom"/>
          </w:tcPr>
          <w:p>
            <w:pPr>
              <w:spacing w:after="0"/>
              <w:rPr>
                <w:sz w:val="14"/>
                <w:szCs w:val="14"/>
                <w:color w:val="auto"/>
              </w:rPr>
            </w:pPr>
          </w:p>
        </w:tc>
        <w:tc>
          <w:tcPr>
            <w:tcW w:w="2880" w:type="dxa"/>
            <w:vAlign w:val="bottom"/>
            <w:tcBorders>
              <w:bottom w:val="single" w:sz="8" w:color="808080"/>
            </w:tcBorders>
          </w:tcPr>
          <w:p>
            <w:pPr>
              <w:spacing w:after="0"/>
              <w:rPr>
                <w:sz w:val="14"/>
                <w:szCs w:val="14"/>
                <w:color w:val="auto"/>
              </w:rPr>
            </w:pPr>
          </w:p>
        </w:tc>
        <w:tc>
          <w:tcPr>
            <w:tcW w:w="4260" w:type="dxa"/>
            <w:vAlign w:val="bottom"/>
          </w:tcPr>
          <w:p>
            <w:pPr>
              <w:spacing w:after="0"/>
              <w:rPr>
                <w:sz w:val="14"/>
                <w:szCs w:val="14"/>
                <w:color w:val="auto"/>
              </w:rPr>
            </w:pPr>
          </w:p>
        </w:tc>
      </w:tr>
      <w:tr>
        <w:trPr>
          <w:trHeight w:val="362"/>
        </w:trPr>
        <w:tc>
          <w:tcPr>
            <w:tcW w:w="4280" w:type="dxa"/>
            <w:vAlign w:val="bottom"/>
          </w:tcPr>
          <w:p>
            <w:pPr>
              <w:spacing w:after="0"/>
              <w:rPr>
                <w:sz w:val="24"/>
                <w:szCs w:val="24"/>
                <w:color w:val="auto"/>
              </w:rPr>
            </w:pPr>
          </w:p>
        </w:tc>
        <w:tc>
          <w:tcPr>
            <w:tcW w:w="7140" w:type="dxa"/>
            <w:vAlign w:val="bottom"/>
            <w:gridSpan w:val="2"/>
          </w:tcPr>
          <w:p>
            <w:pPr>
              <w:jc w:val="center"/>
              <w:ind w:right="4226"/>
              <w:spacing w:after="0"/>
              <w:rPr>
                <w:sz w:val="20"/>
                <w:szCs w:val="20"/>
                <w:color w:val="auto"/>
              </w:rPr>
            </w:pPr>
            <w:r>
              <w:rPr>
                <w:rFonts w:ascii="Times New Roman" w:cs="Times New Roman" w:eastAsia="Times New Roman" w:hAnsi="Times New Roman"/>
                <w:sz w:val="14"/>
                <w:szCs w:val="14"/>
                <w:b w:val="1"/>
                <w:bCs w:val="1"/>
                <w:color w:val="auto"/>
              </w:rPr>
              <w:t>CALCULATION OF FILING FEE</w:t>
            </w:r>
          </w:p>
        </w:tc>
      </w:tr>
      <w:tr>
        <w:trPr>
          <w:trHeight w:val="64"/>
        </w:trPr>
        <w:tc>
          <w:tcPr>
            <w:tcW w:w="428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c>
          <w:tcPr>
            <w:tcW w:w="4260" w:type="dxa"/>
            <w:vAlign w:val="bottom"/>
            <w:tcBorders>
              <w:bottom w:val="single" w:sz="8" w:color="auto"/>
            </w:tcBorders>
          </w:tcPr>
          <w:p>
            <w:pPr>
              <w:spacing w:after="0"/>
              <w:rPr>
                <w:sz w:val="5"/>
                <w:szCs w:val="5"/>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r>
      <w:tr>
        <w:trPr>
          <w:trHeight w:val="102"/>
        </w:trPr>
        <w:tc>
          <w:tcPr>
            <w:tcW w:w="4280" w:type="dxa"/>
            <w:vAlign w:val="bottom"/>
            <w:tcBorders>
              <w:bottom w:val="single" w:sz="8" w:color="auto"/>
            </w:tcBorders>
          </w:tcPr>
          <w:p>
            <w:pPr>
              <w:jc w:val="center"/>
              <w:ind w:left="1277"/>
              <w:spacing w:after="0" w:line="102" w:lineRule="exact"/>
              <w:rPr>
                <w:sz w:val="20"/>
                <w:szCs w:val="20"/>
                <w:color w:val="auto"/>
              </w:rPr>
            </w:pPr>
            <w:r>
              <w:rPr>
                <w:rFonts w:ascii="Times New Roman" w:cs="Times New Roman" w:eastAsia="Times New Roman" w:hAnsi="Times New Roman"/>
                <w:sz w:val="11"/>
                <w:szCs w:val="11"/>
                <w:b w:val="1"/>
                <w:bCs w:val="1"/>
                <w:color w:val="auto"/>
                <w:w w:val="96"/>
              </w:rPr>
              <w:t>Transaction Valuation</w:t>
            </w:r>
          </w:p>
        </w:tc>
        <w:tc>
          <w:tcPr>
            <w:tcW w:w="2880" w:type="dxa"/>
            <w:vAlign w:val="bottom"/>
            <w:tcBorders>
              <w:bottom w:val="single" w:sz="8" w:color="auto"/>
            </w:tcBorders>
          </w:tcPr>
          <w:p>
            <w:pPr>
              <w:spacing w:after="0"/>
              <w:rPr>
                <w:sz w:val="8"/>
                <w:szCs w:val="8"/>
                <w:color w:val="auto"/>
              </w:rPr>
            </w:pPr>
          </w:p>
        </w:tc>
        <w:tc>
          <w:tcPr>
            <w:tcW w:w="4260" w:type="dxa"/>
            <w:vAlign w:val="bottom"/>
            <w:tcBorders>
              <w:bottom w:val="single" w:sz="8" w:color="auto"/>
            </w:tcBorders>
          </w:tcPr>
          <w:p>
            <w:pPr>
              <w:jc w:val="center"/>
              <w:ind w:right="1266"/>
              <w:spacing w:after="0" w:line="102" w:lineRule="exact"/>
              <w:rPr>
                <w:sz w:val="20"/>
                <w:szCs w:val="20"/>
                <w:color w:val="auto"/>
              </w:rPr>
            </w:pPr>
            <w:r>
              <w:rPr>
                <w:rFonts w:ascii="Times New Roman" w:cs="Times New Roman" w:eastAsia="Times New Roman" w:hAnsi="Times New Roman"/>
                <w:sz w:val="11"/>
                <w:szCs w:val="11"/>
                <w:b w:val="1"/>
                <w:bCs w:val="1"/>
                <w:color w:val="auto"/>
                <w:w w:val="98"/>
              </w:rPr>
              <w:t>Amount of Filing Fee</w:t>
            </w:r>
          </w:p>
        </w:tc>
      </w:tr>
      <w:tr>
        <w:trPr>
          <w:trHeight w:val="142"/>
        </w:trPr>
        <w:tc>
          <w:tcPr>
            <w:tcW w:w="4280" w:type="dxa"/>
            <w:vAlign w:val="bottom"/>
            <w:tcBorders>
              <w:bottom w:val="single" w:sz="8" w:color="auto"/>
            </w:tcBorders>
          </w:tcPr>
          <w:p>
            <w:pPr>
              <w:jc w:val="right"/>
              <w:ind w:right="1017"/>
              <w:spacing w:after="0" w:line="142" w:lineRule="exact"/>
              <w:rPr>
                <w:sz w:val="20"/>
                <w:szCs w:val="20"/>
                <w:color w:val="auto"/>
              </w:rPr>
            </w:pPr>
            <w:r>
              <w:rPr>
                <w:rFonts w:ascii="Times New Roman" w:cs="Times New Roman" w:eastAsia="Times New Roman" w:hAnsi="Times New Roman"/>
                <w:sz w:val="14"/>
                <w:szCs w:val="14"/>
                <w:color w:val="auto"/>
              </w:rPr>
              <w:t>$624,571,226</w:t>
            </w:r>
          </w:p>
        </w:tc>
        <w:tc>
          <w:tcPr>
            <w:tcW w:w="7140" w:type="dxa"/>
            <w:vAlign w:val="bottom"/>
            <w:tcBorders>
              <w:bottom w:val="single" w:sz="8" w:color="auto"/>
            </w:tcBorders>
            <w:gridSpan w:val="2"/>
          </w:tcPr>
          <w:p>
            <w:pPr>
              <w:jc w:val="right"/>
              <w:ind w:right="2506"/>
              <w:spacing w:after="0" w:line="142" w:lineRule="exact"/>
              <w:rPr>
                <w:sz w:val="20"/>
                <w:szCs w:val="20"/>
                <w:color w:val="auto"/>
              </w:rPr>
            </w:pPr>
            <w:r>
              <w:rPr>
                <w:rFonts w:ascii="Times New Roman" w:cs="Times New Roman" w:eastAsia="Times New Roman" w:hAnsi="Times New Roman"/>
                <w:sz w:val="14"/>
                <w:szCs w:val="14"/>
                <w:color w:val="auto"/>
              </w:rPr>
              <w:t>$81,070</w:t>
            </w: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r>
    </w:tbl>
    <w:p>
      <w:pPr>
        <w:spacing w:after="0" w:line="58" w:lineRule="exact"/>
        <w:rPr>
          <w:sz w:val="24"/>
          <w:szCs w:val="24"/>
          <w:color w:val="auto"/>
        </w:rPr>
      </w:pPr>
    </w:p>
    <w:p>
      <w:pPr>
        <w:ind w:left="400" w:right="60" w:hanging="392"/>
        <w:spacing w:after="0" w:line="229" w:lineRule="auto"/>
        <w:tabs>
          <w:tab w:leader="none" w:pos="39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for purposes of calculating the filing fee only. The transaction valuation was calculated as the sum of (i) 33,288,814 Common Shares of Care.com, Inc. (“Care.com”) outstanding multiplied by $15.00, (ii) 46,350 Preferred Shares of Care.com outstanding multiplied by $1,813.29, (iii) 2,415,926 Common Shares issuable pursuant to outstanding options with an exercise price less than the price of $15.00 per share, multiplied by $8.06 (which is the price of $15.00 minus the weighted average exercise price for such options of $6.94 per share) and</w:t>
      </w:r>
    </w:p>
    <w:p>
      <w:pPr>
        <w:ind w:left="400" w:right="38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(iv) 1,448,044 Common Shares subject to issuance pursuant to outstanding Care.com restricted stock units multiplied by $15.00. The calculation of the filing fee is based on information provided by Care.com as of January 8, 2020, the most recent practicable date.</w:t>
      </w:r>
    </w:p>
    <w:p>
      <w:pPr>
        <w:spacing w:after="0" w:line="42" w:lineRule="exact"/>
        <w:rPr>
          <w:sz w:val="24"/>
          <w:szCs w:val="24"/>
          <w:color w:val="auto"/>
        </w:rPr>
      </w:pPr>
    </w:p>
    <w:p>
      <w:pPr>
        <w:ind w:left="400" w:right="220" w:hanging="392"/>
        <w:spacing w:after="0" w:line="262" w:lineRule="auto"/>
        <w:tabs>
          <w:tab w:leader="none" w:pos="385"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filing fee was calculated in accordance with Rule 0-11 under the Securities Exchange Act of 1934, as amended, and Fee Rate Advisory No. 1 for Fiscal Year 2020, effective October 1, 2019, by multiplying the transaction value by 0.0001298.</w:t>
      </w:r>
    </w:p>
    <w:p>
      <w:pPr>
        <w:spacing w:after="0" w:line="27" w:lineRule="exact"/>
        <w:rPr>
          <w:sz w:val="24"/>
          <w:szCs w:val="24"/>
          <w:color w:val="auto"/>
        </w:rPr>
      </w:pPr>
    </w:p>
    <w:p>
      <w:pPr>
        <w:ind w:left="400" w:right="280" w:hanging="392"/>
        <w:spacing w:after="0" w:line="262" w:lineRule="auto"/>
        <w:tabs>
          <w:tab w:leader="none" w:pos="313"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Check the box if any part of the fee is offset as provided by Rule 0-11(a)(2) of the Securities Exchange Act of 1934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615" w:right="239" w:bottom="1440" w:gutter="0" w:footer="0" w:header="0"/>
        </w:sectPr>
      </w:pPr>
    </w:p>
    <w:p>
      <w:pPr>
        <w:spacing w:after="0" w:line="2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Amount Previously Paid:</w:t>
      </w:r>
    </w:p>
    <w:p>
      <w:pPr>
        <w:spacing w:after="0" w:line="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Form or Registration No.:</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$81,070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Schedule TO</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Filing Party: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Date Filed:</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1940"/>
        <w:spacing w:after="0" w:line="262" w:lineRule="auto"/>
        <w:rPr>
          <w:sz w:val="20"/>
          <w:szCs w:val="20"/>
          <w:color w:val="auto"/>
        </w:rPr>
      </w:pPr>
      <w:r>
        <w:rPr>
          <w:rFonts w:ascii="Times New Roman" w:cs="Times New Roman" w:eastAsia="Times New Roman" w:hAnsi="Times New Roman"/>
          <w:sz w:val="14"/>
          <w:szCs w:val="14"/>
          <w:color w:val="auto"/>
        </w:rPr>
        <w:t>Buzz Merger Sub Inc. and IAC/InterActiveCorp January 13, 2020</w:t>
      </w:r>
    </w:p>
    <w:p>
      <w:pPr>
        <w:spacing w:after="0" w:line="27" w:lineRule="exact"/>
        <w:rPr>
          <w:sz w:val="24"/>
          <w:szCs w:val="24"/>
          <w:color w:val="auto"/>
        </w:rPr>
      </w:pPr>
    </w:p>
    <w:p>
      <w:pPr>
        <w:sectPr>
          <w:pgSz w:w="11900" w:h="16838" w:orient="portrait"/>
          <w:cols w:equalWidth="0" w:num="4">
            <w:col w:w="2660" w:space="720"/>
            <w:col w:w="1360" w:space="720"/>
            <w:col w:w="720" w:space="520"/>
            <w:col w:w="4720"/>
          </w:cols>
          <w:pgMar w:left="240" w:top="615" w:right="239" w:bottom="1440" w:gutter="0" w:footer="0" w:header="0"/>
          <w:type w:val="continuous"/>
        </w:sectPr>
      </w:pPr>
    </w:p>
    <w:p>
      <w:pPr>
        <w:ind w:right="4040" w:firstLine="8"/>
        <w:spacing w:after="0" w:line="342" w:lineRule="auto"/>
        <w:tabs>
          <w:tab w:leader="none" w:pos="329"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Check the box if the filing relates solely to preliminary communications made before the commencement of a tender offer. Check the appropriate boxes below to designate any transactions to which the statement relates:</w:t>
      </w:r>
    </w:p>
    <w:p>
      <w:pPr>
        <w:ind w:left="660" w:right="7840" w:hanging="4"/>
        <w:spacing w:after="0" w:line="342" w:lineRule="auto"/>
        <w:tabs>
          <w:tab w:leader="none" w:pos="96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tender offer subject to Rule 14d-1. o issuer tender offer subject to Rule 13e-4.</w:t>
      </w:r>
    </w:p>
    <w:p>
      <w:pPr>
        <w:jc w:val="both"/>
        <w:ind w:left="660" w:right="7680"/>
        <w:spacing w:after="0" w:line="34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 going-private transaction subject to Rule 13e-3. o amendment to Schedule 13D under Rule 13d-2.</w:t>
      </w:r>
    </w:p>
    <w:p>
      <w:pPr>
        <w:spacing w:after="0"/>
        <w:rPr>
          <w:sz w:val="20"/>
          <w:szCs w:val="20"/>
          <w:color w:val="auto"/>
        </w:rPr>
      </w:pPr>
      <w:r>
        <w:rPr>
          <w:rFonts w:ascii="Times New Roman" w:cs="Times New Roman" w:eastAsia="Times New Roman" w:hAnsi="Times New Roman"/>
          <w:sz w:val="14"/>
          <w:szCs w:val="14"/>
          <w:color w:val="auto"/>
        </w:rPr>
        <w:t>Check the following box if the filing is a final amendment reporting the results of the tender offer: o</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If applicable, check the appropriate box(es) below to designate the appropriate rule provision(s) relied upon: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9" w:lineRule="exact"/>
        <w:rPr>
          <w:sz w:val="24"/>
          <w:szCs w:val="24"/>
          <w:color w:val="auto"/>
        </w:rPr>
      </w:pPr>
    </w:p>
    <w:p>
      <w:pPr>
        <w:ind w:left="340" w:hanging="332"/>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 13e-4(i) (Cross-Border Issuer Tender Offer)</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330200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615" w:right="239" w:bottom="1440" w:gutter="0" w:footer="0" w:header="0"/>
          <w:type w:val="continuous"/>
        </w:sectPr>
      </w:pPr>
    </w:p>
    <w:bookmarkStart w:id="1" w:name="page2"/>
    <w:bookmarkEnd w:id="1"/>
    <w:p>
      <w:pPr>
        <w:ind w:firstLine="648"/>
        <w:spacing w:after="0" w:line="252" w:lineRule="auto"/>
        <w:rPr>
          <w:sz w:val="20"/>
          <w:szCs w:val="20"/>
          <w:color w:val="auto"/>
        </w:rPr>
      </w:pPr>
      <w:r>
        <w:rPr>
          <w:rFonts w:ascii="Times New Roman" w:cs="Times New Roman" w:eastAsia="Times New Roman" w:hAnsi="Times New Roman"/>
          <w:sz w:val="18"/>
          <w:szCs w:val="18"/>
          <w:color w:val="auto"/>
        </w:rPr>
        <w:t>This Amendment No. 1 (this “Amendment”) amends and supplements the Tender Offer Statement on Schedule TO filed by Buzz Merger Sub Inc., a Delaware corporation (“Purchaser”), and IAC/InterActiveCorp, a Delaware corporation (“Parent”), with the United States Securities and Exchange Commission on January 13, 2020 (together with any subsequent amendments and supplements thereto, the “Schedule TO”). The Schedule TO relates to the offer by Purchaser to purchase (the “Offer”) (i) all outstanding shares of common stock, par value $0.001 per share (the “Common Shares”), of Care.com, Inc., a Delaware corporation (“Care.com” or the “Company”), at a price per Common Share of $15.00 and (ii) all outstanding shares of Series A Convertible Preferred Stock, par value $0.001 per share (the “Preferred Shares”), of Care.com, at (x) 150% of the Liquidation Preference per share, as specified in the Certificate of Designations for the Preferred Shares (the “Certificate of Designations”), plus (y) Accrued and Unpaid Dividends payable in respect of such Preferred Shares, as specified in the Certificate of Designations, in the case of clauses (x) and (y), calculated as of and including the expiration date for the Offer, pursuant to the terms of the Certificate of Designations, in each case, net to the holder in cash, without interest, less any applicable withholding taxes, upon the terms and subject to the conditions described in the Offer to Purchase, dated January 13, 2020 (together with any amendments or supplements thereto, the “Offer to Purchase”), and in the related Letter of Transmittal (together with any amendments or supplements thereto, the “Letter of Transmittal”), which are annexed to and filed with the Schedule TO as Exhibits (a)(1)(A) and (a)(1)(B), respectively. Purchaser is a wholly-owned subsidiary of Parent. This Amendment is being filed on behalf of Parent and Purchaser. Unless otherwise indicated, references to sections in this Amendment are references to sections of the Offer to Purchase.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 through 11.</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information set forth in the Offer to Purchase under “The Tender Offer—Section 15—Certain Legal Matters; Regulatory Approvals” and Items 1 through 11 of the Schedule TO, to the extent such Items incorporate by reference the information contained in the Offer to Purchase, are hereby amended and supplemented by adding the following paragraph after the third paragraph of the subsection titled “Antitrust” which begins on page 49 of the Offer to Purchase:</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FTC granted early termination of the waiting period under the HSR Act with respect to the Offer and the Merger on January 21, 2020. Accordingly, the condition of the Offer relating to the expiration or termination of the HSR Act waiting period has been satisfied. The Offer continues to be subject to the remaining conditions set forth in Section 13—“Conditions of the Offer.””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Dated: January 21, 2020</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IAC/INTERACTIVECORP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574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Gregg Winiarski</w:t>
            </w:r>
          </w:p>
        </w:tc>
        <w:tc>
          <w:tcPr>
            <w:tcW w:w="40" w:type="dxa"/>
            <w:vAlign w:val="bottom"/>
          </w:tcPr>
          <w:p>
            <w:pPr>
              <w:spacing w:after="0"/>
              <w:rPr>
                <w:sz w:val="20"/>
                <w:szCs w:val="20"/>
                <w:color w:val="auto"/>
              </w:rPr>
            </w:pPr>
          </w:p>
        </w:tc>
      </w:tr>
      <w:tr>
        <w:trPr>
          <w:trHeight w:val="191"/>
        </w:trPr>
        <w:tc>
          <w:tcPr>
            <w:tcW w:w="6440" w:type="dxa"/>
            <w:vAlign w:val="bottom"/>
          </w:tcPr>
          <w:p>
            <w:pPr>
              <w:ind w:left="57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Gregg Winiarski</w:t>
            </w:r>
          </w:p>
        </w:tc>
        <w:tc>
          <w:tcPr>
            <w:tcW w:w="40" w:type="dxa"/>
            <w:vAlign w:val="bottom"/>
          </w:tcPr>
          <w:p>
            <w:pPr>
              <w:spacing w:after="0"/>
              <w:rPr>
                <w:sz w:val="16"/>
                <w:szCs w:val="16"/>
                <w:color w:val="auto"/>
              </w:rPr>
            </w:pPr>
          </w:p>
        </w:tc>
      </w:tr>
      <w:tr>
        <w:trPr>
          <w:trHeight w:val="234"/>
        </w:trPr>
        <w:tc>
          <w:tcPr>
            <w:tcW w:w="6440" w:type="dxa"/>
            <w:vAlign w:val="bottom"/>
          </w:tcPr>
          <w:p>
            <w:pPr>
              <w:ind w:left="5740"/>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General Counsel</w:t>
            </w:r>
          </w:p>
        </w:tc>
        <w:tc>
          <w:tcPr>
            <w:tcW w:w="40" w:type="dxa"/>
            <w:vAlign w:val="bottom"/>
          </w:tcPr>
          <w:p>
            <w:pPr>
              <w:spacing w:after="0"/>
              <w:rPr>
                <w:sz w:val="20"/>
                <w:szCs w:val="20"/>
                <w:color w:val="auto"/>
              </w:rPr>
            </w:pPr>
          </w:p>
        </w:tc>
      </w:tr>
      <w:tr>
        <w:trPr>
          <w:trHeight w:val="432"/>
        </w:trPr>
        <w:tc>
          <w:tcPr>
            <w:tcW w:w="11420" w:type="dxa"/>
            <w:vAlign w:val="bottom"/>
            <w:gridSpan w:val="2"/>
          </w:tcPr>
          <w:p>
            <w:pPr>
              <w:ind w:left="5740"/>
              <w:spacing w:after="0"/>
              <w:rPr>
                <w:sz w:val="20"/>
                <w:szCs w:val="20"/>
                <w:color w:val="auto"/>
              </w:rPr>
            </w:pPr>
            <w:r>
              <w:rPr>
                <w:rFonts w:ascii="Times New Roman" w:cs="Times New Roman" w:eastAsia="Times New Roman" w:hAnsi="Times New Roman"/>
                <w:sz w:val="18"/>
                <w:szCs w:val="18"/>
                <w:b w:val="1"/>
                <w:bCs w:val="1"/>
                <w:color w:val="auto"/>
              </w:rPr>
              <w:t>BUZZ MERGER SUB INC.</w:t>
            </w:r>
          </w:p>
        </w:tc>
        <w:tc>
          <w:tcPr>
            <w:tcW w:w="40" w:type="dxa"/>
            <w:vAlign w:val="bottom"/>
          </w:tcPr>
          <w:p>
            <w:pPr>
              <w:spacing w:after="0"/>
              <w:rPr>
                <w:sz w:val="24"/>
                <w:szCs w:val="24"/>
                <w:color w:val="auto"/>
              </w:rPr>
            </w:pPr>
          </w:p>
        </w:tc>
      </w:tr>
      <w:tr>
        <w:trPr>
          <w:trHeight w:val="432"/>
        </w:trPr>
        <w:tc>
          <w:tcPr>
            <w:tcW w:w="6440" w:type="dxa"/>
            <w:vAlign w:val="bottom"/>
          </w:tcPr>
          <w:p>
            <w:pPr>
              <w:ind w:left="574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Gregg Winiarski</w:t>
            </w:r>
          </w:p>
        </w:tc>
        <w:tc>
          <w:tcPr>
            <w:tcW w:w="40" w:type="dxa"/>
            <w:vAlign w:val="bottom"/>
          </w:tcPr>
          <w:p>
            <w:pPr>
              <w:spacing w:after="0"/>
              <w:rPr>
                <w:sz w:val="24"/>
                <w:szCs w:val="24"/>
                <w:color w:val="auto"/>
              </w:rPr>
            </w:pPr>
          </w:p>
        </w:tc>
      </w:tr>
      <w:tr>
        <w:trPr>
          <w:trHeight w:val="191"/>
        </w:trPr>
        <w:tc>
          <w:tcPr>
            <w:tcW w:w="6440" w:type="dxa"/>
            <w:vAlign w:val="bottom"/>
          </w:tcPr>
          <w:p>
            <w:pPr>
              <w:ind w:left="57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Gregg Winiarski</w:t>
            </w:r>
          </w:p>
        </w:tc>
        <w:tc>
          <w:tcPr>
            <w:tcW w:w="40" w:type="dxa"/>
            <w:vAlign w:val="bottom"/>
          </w:tcPr>
          <w:p>
            <w:pPr>
              <w:spacing w:after="0"/>
              <w:rPr>
                <w:sz w:val="16"/>
                <w:szCs w:val="16"/>
                <w:color w:val="auto"/>
              </w:rPr>
            </w:pPr>
          </w:p>
        </w:tc>
      </w:tr>
      <w:tr>
        <w:trPr>
          <w:trHeight w:val="234"/>
        </w:trPr>
        <w:tc>
          <w:tcPr>
            <w:tcW w:w="6440" w:type="dxa"/>
            <w:vAlign w:val="bottom"/>
          </w:tcPr>
          <w:p>
            <w:pPr>
              <w:ind w:left="5740"/>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Assistant Secretary</w:t>
            </w:r>
          </w:p>
        </w:tc>
        <w:tc>
          <w:tcPr>
            <w:tcW w:w="40" w:type="dxa"/>
            <w:vAlign w:val="bottom"/>
          </w:tcPr>
          <w:p>
            <w:pPr>
              <w:spacing w:after="0"/>
              <w:rPr>
                <w:sz w:val="20"/>
                <w:szCs w:val="20"/>
                <w:color w:val="auto"/>
              </w:rPr>
            </w:pPr>
          </w:p>
        </w:tc>
      </w:tr>
      <w:tr>
        <w:trPr>
          <w:trHeight w:val="432"/>
        </w:trPr>
        <w:tc>
          <w:tcPr>
            <w:tcW w:w="64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3</w:t>
            </w:r>
          </w:p>
        </w:tc>
        <w:tc>
          <w:tcPr>
            <w:tcW w:w="4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40" w:type="dxa"/>
            <w:vAlign w:val="bottom"/>
            <w:tcBorders>
              <w:bottom w:val="single" w:sz="8" w:color="808080"/>
            </w:tcBorders>
          </w:tcPr>
          <w:p>
            <w:pPr>
              <w:spacing w:after="0"/>
              <w:rPr>
                <w:sz w:val="11"/>
                <w:szCs w:val="11"/>
                <w:color w:val="auto"/>
              </w:rPr>
            </w:pPr>
          </w:p>
        </w:tc>
        <w:tc>
          <w:tcPr>
            <w:tcW w:w="4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420"/>
          </w:cols>
          <w:pgMar w:left="240" w:top="333" w:right="2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(a)(1)(A)</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Offer to Purchase, dated January 13, 2020*</w:t>
      </w:r>
    </w:p>
    <w:p>
      <w:pPr>
        <w:spacing w:after="0" w:line="211" w:lineRule="exact"/>
        <w:rPr>
          <w:sz w:val="20"/>
          <w:szCs w:val="20"/>
          <w:color w:val="auto"/>
        </w:rPr>
      </w:pPr>
    </w:p>
    <w:p>
      <w:pPr>
        <w:sectPr>
          <w:pgSz w:w="11900" w:h="16838" w:orient="portrait"/>
          <w:cols w:equalWidth="0" w:num="2">
            <w:col w:w="660" w:space="560"/>
            <w:col w:w="10200"/>
          </w:cols>
          <w:pgMar w:left="240" w:top="333"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(a)(1)(B)</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Letter of Transmittal*</w:t>
      </w:r>
    </w:p>
    <w:p>
      <w:pPr>
        <w:spacing w:after="0" w:line="211" w:lineRule="exact"/>
        <w:rPr>
          <w:sz w:val="20"/>
          <w:szCs w:val="20"/>
          <w:color w:val="auto"/>
        </w:rPr>
      </w:pPr>
    </w:p>
    <w:p>
      <w:pPr>
        <w:sectPr>
          <w:pgSz w:w="11900" w:h="16838" w:orient="portrait"/>
          <w:cols w:equalWidth="0" w:num="2">
            <w:col w:w="660" w:space="560"/>
            <w:col w:w="10200"/>
          </w:cols>
          <w:pgMar w:left="240" w:top="333"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(a)(1)(C)</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Notice of Guaranteed Delivery*</w:t>
      </w:r>
    </w:p>
    <w:p>
      <w:pPr>
        <w:spacing w:after="0" w:line="211" w:lineRule="exact"/>
        <w:rPr>
          <w:sz w:val="20"/>
          <w:szCs w:val="20"/>
          <w:color w:val="auto"/>
        </w:rPr>
      </w:pPr>
    </w:p>
    <w:p>
      <w:pPr>
        <w:sectPr>
          <w:pgSz w:w="11900" w:h="16838" w:orient="portrait"/>
          <w:cols w:equalWidth="0" w:num="2">
            <w:col w:w="660" w:space="560"/>
            <w:col w:w="10200"/>
          </w:cols>
          <w:pgMar w:left="240" w:top="333"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Letter to Brokers, Dealers, Commercial Banks, Trust Companies and Other Nominees*</w:t>
      </w:r>
    </w:p>
    <w:p>
      <w:pPr>
        <w:spacing w:after="0" w:line="211" w:lineRule="exact"/>
        <w:rPr>
          <w:sz w:val="20"/>
          <w:szCs w:val="20"/>
          <w:color w:val="auto"/>
        </w:rPr>
      </w:pPr>
    </w:p>
    <w:p>
      <w:pPr>
        <w:sectPr>
          <w:pgSz w:w="11900" w:h="16838" w:orient="portrait"/>
          <w:cols w:equalWidth="0" w:num="2">
            <w:col w:w="660" w:space="560"/>
            <w:col w:w="10200"/>
          </w:cols>
          <w:pgMar w:left="240" w:top="333"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Letter to Clients for Use by Brokers, Dealers, Commercial Banks, Trust Companies and Other Nominees*</w:t>
      </w:r>
    </w:p>
    <w:p>
      <w:pPr>
        <w:spacing w:after="0" w:line="211" w:lineRule="exact"/>
        <w:rPr>
          <w:sz w:val="20"/>
          <w:szCs w:val="20"/>
          <w:color w:val="auto"/>
        </w:rPr>
      </w:pPr>
    </w:p>
    <w:p>
      <w:pPr>
        <w:sectPr>
          <w:pgSz w:w="11900" w:h="16838" w:orient="portrait"/>
          <w:cols w:equalWidth="0" w:num="2">
            <w:col w:w="640" w:space="580"/>
            <w:col w:w="10200"/>
          </w:cols>
          <w:pgMar w:left="240" w:top="333"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(a)(1)(F)</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Summary Advertisement, published in The New York Times on January 13, 2020*</w:t>
      </w:r>
    </w:p>
    <w:p>
      <w:pPr>
        <w:spacing w:after="0" w:line="211" w:lineRule="exact"/>
        <w:rPr>
          <w:sz w:val="20"/>
          <w:szCs w:val="20"/>
          <w:color w:val="auto"/>
        </w:rPr>
      </w:pPr>
    </w:p>
    <w:p>
      <w:pPr>
        <w:sectPr>
          <w:pgSz w:w="11900" w:h="16838" w:orient="portrait"/>
          <w:cols w:equalWidth="0" w:num="2">
            <w:col w:w="640" w:space="580"/>
            <w:col w:w="10200"/>
          </w:cols>
          <w:pgMar w:left="240" w:top="333"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1" w:lineRule="exact"/>
        <w:rPr>
          <w:sz w:val="20"/>
          <w:szCs w:val="20"/>
          <w:color w:val="auto"/>
        </w:rPr>
      </w:pPr>
    </w:p>
    <w:p>
      <w:pPr>
        <w:sectPr>
          <w:pgSz w:w="11900" w:h="16838" w:orient="portrait"/>
          <w:cols w:equalWidth="0" w:num="2">
            <w:col w:w="500" w:space="720"/>
            <w:col w:w="10200"/>
          </w:cols>
          <w:pgMar w:left="240" w:top="333"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1" w:lineRule="exact"/>
        <w:rPr>
          <w:sz w:val="20"/>
          <w:szCs w:val="20"/>
          <w:color w:val="auto"/>
        </w:rPr>
      </w:pPr>
    </w:p>
    <w:p>
      <w:pPr>
        <w:sectPr>
          <w:pgSz w:w="11900" w:h="16838" w:orient="portrait"/>
          <w:cols w:equalWidth="0" w:num="2">
            <w:col w:w="500" w:space="720"/>
            <w:col w:w="10200"/>
          </w:cols>
          <w:pgMar w:left="240" w:top="333"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1" w:lineRule="exact"/>
        <w:rPr>
          <w:sz w:val="20"/>
          <w:szCs w:val="20"/>
          <w:color w:val="auto"/>
        </w:rPr>
      </w:pPr>
    </w:p>
    <w:p>
      <w:pPr>
        <w:sectPr>
          <w:pgSz w:w="11900" w:h="16838" w:orient="portrait"/>
          <w:cols w:equalWidth="0" w:num="2">
            <w:col w:w="500" w:space="720"/>
            <w:col w:w="10200"/>
          </w:cols>
          <w:pgMar w:left="240" w:top="333"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(a)(5)(A)</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Joint Press Release of Parent and the Company, dated December 20, 2019 (incorporated by reference to Exhibit 99.1 to the Current Report on Form 8-K filed by Parent with the Securities and Exchange Commission on December 20, 2019)*</w:t>
      </w:r>
    </w:p>
    <w:p>
      <w:pPr>
        <w:spacing w:after="0" w:line="162" w:lineRule="exact"/>
        <w:rPr>
          <w:sz w:val="20"/>
          <w:szCs w:val="20"/>
          <w:color w:val="auto"/>
        </w:rPr>
      </w:pPr>
    </w:p>
    <w:p>
      <w:pPr>
        <w:sectPr>
          <w:pgSz w:w="11900" w:h="16838" w:orient="portrait"/>
          <w:cols w:equalWidth="0" w:num="2">
            <w:col w:w="660" w:space="560"/>
            <w:col w:w="10200"/>
          </w:cols>
          <w:pgMar w:left="240" w:top="33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(a)(5)(B)</w:t>
      </w:r>
    </w:p>
    <w:p>
      <w:pPr>
        <w:spacing w:after="0" w:line="20" w:lineRule="exact"/>
        <w:rPr>
          <w:sz w:val="20"/>
          <w:szCs w:val="20"/>
          <w:color w:val="auto"/>
        </w:rPr>
      </w:pPr>
      <w:r>
        <w:rPr>
          <w:sz w:val="20"/>
          <w:szCs w:val="20"/>
          <w:color w:val="auto"/>
        </w:rPr>
        <w:br w:type="column"/>
      </w:r>
    </w:p>
    <w:p>
      <w:pPr>
        <w:ind w:right="260"/>
        <w:spacing w:after="0" w:line="282" w:lineRule="auto"/>
        <w:rPr>
          <w:sz w:val="20"/>
          <w:szCs w:val="20"/>
          <w:color w:val="auto"/>
        </w:rPr>
      </w:pPr>
      <w:r>
        <w:rPr>
          <w:rFonts w:ascii="Times New Roman" w:cs="Times New Roman" w:eastAsia="Times New Roman" w:hAnsi="Times New Roman"/>
          <w:sz w:val="18"/>
          <w:szCs w:val="18"/>
          <w:color w:val="auto"/>
        </w:rPr>
        <w:t>E-Communication Sent to Employees of the Company on December 20, 2019 (incorporated by reference to the Schedule 14D-9C filed by the Company with the Securities and Exchange Commission on December 23, 2019)*</w:t>
      </w:r>
    </w:p>
    <w:p>
      <w:pPr>
        <w:spacing w:after="0" w:line="162" w:lineRule="exact"/>
        <w:rPr>
          <w:sz w:val="20"/>
          <w:szCs w:val="20"/>
          <w:color w:val="auto"/>
        </w:rPr>
      </w:pPr>
    </w:p>
    <w:p>
      <w:pPr>
        <w:sectPr>
          <w:pgSz w:w="11900" w:h="16838" w:orient="portrait"/>
          <w:cols w:equalWidth="0" w:num="2">
            <w:col w:w="660" w:space="560"/>
            <w:col w:w="10200"/>
          </w:cols>
          <w:pgMar w:left="240" w:top="33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(a)(5)(C)</w:t>
      </w:r>
    </w:p>
    <w:p>
      <w:pPr>
        <w:spacing w:after="0" w:line="20" w:lineRule="exact"/>
        <w:rPr>
          <w:sz w:val="20"/>
          <w:szCs w:val="20"/>
          <w:color w:val="auto"/>
        </w:rPr>
      </w:pPr>
      <w:r>
        <w:rPr>
          <w:sz w:val="20"/>
          <w:szCs w:val="20"/>
          <w:color w:val="auto"/>
        </w:rPr>
        <w:br w:type="column"/>
      </w:r>
    </w:p>
    <w:p>
      <w:pPr>
        <w:ind w:right="220"/>
        <w:spacing w:after="0" w:line="282" w:lineRule="auto"/>
        <w:rPr>
          <w:sz w:val="20"/>
          <w:szCs w:val="20"/>
          <w:color w:val="auto"/>
        </w:rPr>
      </w:pPr>
      <w:r>
        <w:rPr>
          <w:rFonts w:ascii="Times New Roman" w:cs="Times New Roman" w:eastAsia="Times New Roman" w:hAnsi="Times New Roman"/>
          <w:sz w:val="18"/>
          <w:szCs w:val="18"/>
          <w:color w:val="auto"/>
        </w:rPr>
        <w:t>Q&amp;A Provided to Employees of the Company, dated as of December 20, 2019 (incorporated by reference to the Schedule 14D-9C filed by the Company with the Securities and Exchange Commission on December 23, 2019)*</w:t>
      </w:r>
    </w:p>
    <w:p>
      <w:pPr>
        <w:spacing w:after="0" w:line="162" w:lineRule="exact"/>
        <w:rPr>
          <w:sz w:val="20"/>
          <w:szCs w:val="20"/>
          <w:color w:val="auto"/>
        </w:rPr>
      </w:pPr>
    </w:p>
    <w:p>
      <w:pPr>
        <w:sectPr>
          <w:pgSz w:w="11900" w:h="16838" w:orient="portrait"/>
          <w:cols w:equalWidth="0" w:num="2">
            <w:col w:w="660" w:space="560"/>
            <w:col w:w="10200"/>
          </w:cols>
          <w:pgMar w:left="240" w:top="33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(a)(5)(D)</w:t>
      </w:r>
    </w:p>
    <w:p>
      <w:pPr>
        <w:spacing w:after="0" w:line="20" w:lineRule="exact"/>
        <w:rPr>
          <w:sz w:val="20"/>
          <w:szCs w:val="20"/>
          <w:color w:val="auto"/>
        </w:rPr>
      </w:pPr>
      <w:r>
        <w:rPr>
          <w:sz w:val="20"/>
          <w:szCs w:val="20"/>
          <w:color w:val="auto"/>
        </w:rPr>
        <w:br w:type="column"/>
      </w:r>
    </w:p>
    <w:p>
      <w:pPr>
        <w:ind w:right="60"/>
        <w:spacing w:after="0" w:line="282" w:lineRule="auto"/>
        <w:rPr>
          <w:sz w:val="20"/>
          <w:szCs w:val="20"/>
          <w:color w:val="auto"/>
        </w:rPr>
      </w:pPr>
      <w:r>
        <w:rPr>
          <w:rFonts w:ascii="Times New Roman" w:cs="Times New Roman" w:eastAsia="Times New Roman" w:hAnsi="Times New Roman"/>
          <w:sz w:val="18"/>
          <w:szCs w:val="18"/>
          <w:color w:val="auto"/>
        </w:rPr>
        <w:t>Letter to Care@Work Clients, dated as of December 20, 2019 (incorporated by reference to the Schedule 14D-9C filed by the Company with the Securities and Exchange Commission on December 23, 2019)*</w:t>
      </w:r>
    </w:p>
    <w:p>
      <w:pPr>
        <w:spacing w:after="0" w:line="162" w:lineRule="exact"/>
        <w:rPr>
          <w:sz w:val="20"/>
          <w:szCs w:val="20"/>
          <w:color w:val="auto"/>
        </w:rPr>
      </w:pPr>
    </w:p>
    <w:p>
      <w:pPr>
        <w:sectPr>
          <w:pgSz w:w="11900" w:h="16838" w:orient="portrait"/>
          <w:cols w:equalWidth="0" w:num="2">
            <w:col w:w="660" w:space="560"/>
            <w:col w:w="10200"/>
          </w:cols>
          <w:pgMar w:left="240" w:top="33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(a)(5)(E)</w:t>
      </w:r>
    </w:p>
    <w:p>
      <w:pPr>
        <w:spacing w:after="0" w:line="20" w:lineRule="exact"/>
        <w:rPr>
          <w:sz w:val="20"/>
          <w:szCs w:val="20"/>
          <w:color w:val="auto"/>
        </w:rPr>
      </w:pPr>
      <w:r>
        <w:rPr>
          <w:sz w:val="20"/>
          <w:szCs w:val="20"/>
          <w:color w:val="auto"/>
        </w:rPr>
        <w:br w:type="column"/>
      </w:r>
    </w:p>
    <w:p>
      <w:pPr>
        <w:ind w:right="240"/>
        <w:spacing w:after="0" w:line="282" w:lineRule="auto"/>
        <w:rPr>
          <w:sz w:val="20"/>
          <w:szCs w:val="20"/>
          <w:color w:val="auto"/>
        </w:rPr>
      </w:pPr>
      <w:r>
        <w:rPr>
          <w:rFonts w:ascii="Times New Roman" w:cs="Times New Roman" w:eastAsia="Times New Roman" w:hAnsi="Times New Roman"/>
          <w:sz w:val="18"/>
          <w:szCs w:val="18"/>
          <w:color w:val="auto"/>
        </w:rPr>
        <w:t>Letter to HomePay Clients, dated as of December 20, 2019 (incorporated by reference to the Schedule 14D-9C filed by the Company with the Securities and Exchange Commission on December 23, 2019)*</w:t>
      </w:r>
    </w:p>
    <w:p>
      <w:pPr>
        <w:spacing w:after="0" w:line="162" w:lineRule="exact"/>
        <w:rPr>
          <w:sz w:val="20"/>
          <w:szCs w:val="20"/>
          <w:color w:val="auto"/>
        </w:rPr>
      </w:pPr>
    </w:p>
    <w:p>
      <w:pPr>
        <w:sectPr>
          <w:pgSz w:w="11900" w:h="16838" w:orient="portrait"/>
          <w:cols w:equalWidth="0" w:num="2">
            <w:col w:w="640" w:space="580"/>
            <w:col w:w="10200"/>
          </w:cols>
          <w:pgMar w:left="240" w:top="33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Joint Press Release issued by Parent and Care.com, dated January 13, 2020, announcing commencement of the Offer*</w:t>
      </w:r>
    </w:p>
    <w:p>
      <w:pPr>
        <w:spacing w:after="0" w:line="211" w:lineRule="exact"/>
        <w:rPr>
          <w:sz w:val="20"/>
          <w:szCs w:val="20"/>
          <w:color w:val="auto"/>
        </w:rPr>
      </w:pPr>
    </w:p>
    <w:p>
      <w:pPr>
        <w:sectPr>
          <w:pgSz w:w="11900" w:h="16838" w:orient="portrait"/>
          <w:cols w:equalWidth="0" w:num="2">
            <w:col w:w="640" w:space="580"/>
            <w:col w:w="10200"/>
          </w:cols>
          <w:pgMar w:left="240" w:top="333" w:right="239" w:bottom="1440" w:gutter="0" w:footer="0" w:header="0"/>
          <w:type w:val="continuous"/>
        </w:sectPr>
      </w:pPr>
    </w:p>
    <w:p>
      <w:pPr>
        <w:spacing w:after="0" w:line="25" w:lineRule="exact"/>
        <w:rPr>
          <w:sz w:val="20"/>
          <w:szCs w:val="20"/>
          <w:color w:val="auto"/>
        </w:rPr>
      </w:pPr>
    </w:p>
    <w:p>
      <w:pPr>
        <w:ind w:left="1220" w:hanging="1212"/>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(d)(1)</w:t>
            </w: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Agreement and Plan of Merger, dated as of December 20, 2019, among Parent, Purchaser and the Company*</w:t>
            </w:r>
          </w:p>
        </w:tc>
      </w:tr>
      <w:tr>
        <w:trPr>
          <w:trHeight w:val="41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Form of Support Agreement, dated as of December 20, 2019, entered into with the parties named on Schedule A thereto (incorporated by</w:t>
            </w:r>
          </w:p>
        </w:tc>
      </w:tr>
      <w:tr>
        <w:trPr>
          <w:trHeight w:val="234"/>
        </w:trPr>
        <w:tc>
          <w:tcPr>
            <w:tcW w:w="820" w:type="dxa"/>
            <w:vAlign w:val="bottom"/>
          </w:tcPr>
          <w:p>
            <w:pPr>
              <w:spacing w:after="0"/>
              <w:rPr>
                <w:sz w:val="20"/>
                <w:szCs w:val="20"/>
                <w:color w:val="auto"/>
              </w:rPr>
            </w:pP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reference to Exhibit 10.1 to the Form 8-K filed by Parent with the Securities and Exchange Commission on December 23, 2019)*</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(d)(3)</w:t>
            </w: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Confidentiality Agreement, dated as of October 14, 2019, as amended November 24, 2019, by and between the Company and Parent*</w:t>
            </w:r>
          </w:p>
        </w:tc>
      </w:tr>
    </w:tbl>
    <w:p>
      <w:pPr>
        <w:spacing w:after="0" w:line="198" w:lineRule="exact"/>
        <w:rPr>
          <w:sz w:val="20"/>
          <w:szCs w:val="20"/>
          <w:color w:val="auto"/>
        </w:rPr>
      </w:pPr>
    </w:p>
    <w:p>
      <w:pPr>
        <w:ind w:left="1220" w:hanging="1212"/>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220" w:hanging="1212"/>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Previously filed.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o"/>
      <w:numFmt w:val="bullet"/>
      <w:start w:val="1"/>
    </w:lvl>
  </w:abstractNum>
  <w:abstractNum w:abstractNumId="4">
    <w:nsid w:val="2EB141F2"/>
    <w:multiLevelType w:val="hybridMultilevel"/>
    <w:lvl w:ilvl="0">
      <w:lvlJc w:val="left"/>
      <w:lvlText w:val="x"/>
      <w:numFmt w:val="bullet"/>
      <w:start w:val="1"/>
    </w:lvl>
  </w:abstractNum>
  <w:abstractNum w:abstractNumId="5">
    <w:nsid w:val="41B71EFB"/>
    <w:multiLevelType w:val="hybridMultilevel"/>
    <w:lvl w:ilvl="0">
      <w:lvlJc w:val="left"/>
      <w:lvlText w:val="o"/>
      <w:numFmt w:val="bullet"/>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2020-01-21T16:27:04Z</dcterms:created>
  <dcterms:modified xsi:type="dcterms:W3CDTF">2020-01-21T16:27:04Z</dcterms:modified>
</cp:coreProperties>
</file>