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IAC/INTERACTIVECORP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WEST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Match 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MTCH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1"/>
              </w:rPr>
              <w:t>Common Stock, par value $0.001</w:t>
            </w:r>
            <w:r>
              <w:rPr>
                <w:rFonts w:ascii="Arial" w:cs="Arial" w:eastAsia="Arial" w:hAnsi="Arial"/>
                <w:sz w:val="22"/>
                <w:szCs w:val="22"/>
                <w:color w:val="008000"/>
                <w:w w:val="91"/>
                <w:vertAlign w:val="superscript"/>
              </w:rPr>
              <w:t>(1)</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12/31/2019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7"/>
              </w:rPr>
              <w:t>14,168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68.11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16,505,944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1"/>
              </w:rPr>
              <w:t>Common Stock, par value $0.001</w:t>
            </w:r>
            <w:r>
              <w:rPr>
                <w:rFonts w:ascii="Arial" w:cs="Arial" w:eastAsia="Arial" w:hAnsi="Arial"/>
                <w:sz w:val="22"/>
                <w:szCs w:val="22"/>
                <w:color w:val="008000"/>
                <w:w w:val="91"/>
                <w:vertAlign w:val="superscript"/>
              </w:rPr>
              <w:t>(1)</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12/31/2019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8"/>
              </w:rPr>
              <w:t>5,656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71.04</w:t>
            </w:r>
          </w:p>
        </w:tc>
        <w:tc>
          <w:tcPr>
            <w:tcW w:w="12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16,511,600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1"/>
              </w:rPr>
              <w:t>Common Stock, par value $0.001</w:t>
            </w:r>
            <w:r>
              <w:rPr>
                <w:rFonts w:ascii="Arial" w:cs="Arial" w:eastAsia="Arial" w:hAnsi="Arial"/>
                <w:sz w:val="22"/>
                <w:szCs w:val="22"/>
                <w:color w:val="008000"/>
                <w:w w:val="91"/>
                <w:vertAlign w:val="superscript"/>
              </w:rPr>
              <w:t>(1)</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12/31/2019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6"/>
              </w:rPr>
              <w:t>125,713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82.12</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16,637,313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of Match Group, Inc. ("MTCH") issued to/acquired by IAC/InterActiveCorp ("IAC") as reimbursement for shares of IAC common stock issued in connection with the settlement of certain equity awards held by MTCH employees, pursuant to the Employee Matters Agreement, dated November 24, 2015, between IAC and MTCH, as amended effective as of April 13, 2016.</w:t>
      </w: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reflects a weighted average issuance price ranging from $67.87 to $68.42. The reporting person agrees to provide, upon request by the Staff of the Securities and Exchange Commission, MTCH or a security holder of MTCH, information regarding the number of shares issued at each separate price.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reflects a weighted average issuance price ranging from $82.11 to $82.98. The reporting person agrees to provide, upon request by the Staff of the Securities and Exchange Commission, MTCH or a security holder of MTCH, information regarding the number of shares issued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Tanya M. Stanich,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01/02/2020</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0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0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91103" TargetMode="External"/><Relationship Id="rId13" Type="http://schemas.openxmlformats.org/officeDocument/2006/relationships/hyperlink" Target="http://www.sec.gov/cgi-bin/browse-edgar?action=getcompany&amp;CIK=00015751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2020-01-02T16:32:39Z</dcterms:created>
  <dcterms:modified xsi:type="dcterms:W3CDTF">2020-01-02T16:32:39Z</dcterms:modified>
</cp:coreProperties>
</file>